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CB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474747"/>
          <w:spacing w:val="0"/>
          <w:sz w:val="33"/>
          <w:szCs w:val="33"/>
        </w:rPr>
      </w:pPr>
      <w:r>
        <w:rPr>
          <w:rFonts w:hint="eastAsia" w:ascii="微软雅黑" w:hAnsi="微软雅黑" w:eastAsia="微软雅黑" w:cs="微软雅黑"/>
          <w:i w:val="0"/>
          <w:iCs w:val="0"/>
          <w:caps w:val="0"/>
          <w:color w:val="474747"/>
          <w:spacing w:val="0"/>
          <w:sz w:val="33"/>
          <w:szCs w:val="33"/>
        </w:rPr>
        <w:t>财政预决算相关落实情况</w:t>
      </w:r>
    </w:p>
    <w:p w14:paraId="487E36BA">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财政拨款：部门（单位）从同级财政部门取得的各类财政拨款，包括一般公共预算拨款、政府性基金预算拨款、国有资本经营预算拨款。</w:t>
      </w:r>
    </w:p>
    <w:p w14:paraId="30ECF427">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left"/>
        <w:outlineLvl w:val="1"/>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一般公共预算拨款收入：指财政当年拨付的资金。</w:t>
      </w:r>
    </w:p>
    <w:p w14:paraId="7C8FA35F">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left"/>
        <w:outlineLvl w:val="1"/>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财政专户管理资金：缴入财政专户、短训班培训费等教育收费。</w:t>
      </w:r>
      <w:bookmarkStart w:id="0" w:name="_GoBack"/>
      <w:bookmarkEnd w:id="0"/>
    </w:p>
    <w:p w14:paraId="4292BADE">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left"/>
        <w:outlineLvl w:val="1"/>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单位资金：除财政拨款收入和财政专户管理资金以外的收入，包括事业收入（不含教育收费）、上级补助收入、附属单位上缴收入、事业单位经营收入及其他收入（包含债务收入、投资收益等）。</w:t>
      </w:r>
    </w:p>
    <w:p w14:paraId="3C5C1589">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left"/>
        <w:outlineLvl w:val="1"/>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基本支出：指为保障机构正常运转、完成工作任务而发生的人员支出和公用支出。</w:t>
      </w:r>
    </w:p>
    <w:p w14:paraId="494554EC">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left"/>
        <w:outlineLvl w:val="1"/>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项目支出：指在基本支出之外为完成特定工作任务和事业发展目标所发生的支出。</w:t>
      </w:r>
    </w:p>
    <w:p w14:paraId="5D5D0218">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left"/>
        <w:outlineLvl w:val="1"/>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对个人和家庭的补助：是指政府用于对个人和家庭的补助支出。</w:t>
      </w:r>
    </w:p>
    <w:p w14:paraId="78B6BAA2">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left"/>
        <w:outlineLvl w:val="1"/>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三公”经费：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3BF78D1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Chars="0" w:right="0" w:rightChars="0"/>
        <w:jc w:val="left"/>
        <w:outlineLvl w:val="1"/>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九、机构运行经费：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4EAA9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AD41C"/>
    <w:multiLevelType w:val="singleLevel"/>
    <w:tmpl w:val="B47AD4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36667"/>
    <w:rsid w:val="3D0B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648</Words>
  <Characters>648</Characters>
  <Lines>0</Lines>
  <Paragraphs>0</Paragraphs>
  <TotalTime>4</TotalTime>
  <ScaleCrop>false</ScaleCrop>
  <LinksUpToDate>false</LinksUpToDate>
  <CharactersWithSpaces>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2026-03-03T02:56:00Z</dcterms:created>
  <dc:creator>PC</dc:creator>
  <cp:lastModifiedBy>﹏Gentleman﹌</cp:lastModifiedBy>
  <dcterms:modified xsi:type="dcterms:W3CDTF">2026-03-03T03:02:39Z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eyJoZGlkIjoiYzkxYTZiZDFkZjZiNzRmYzhlMDBjOTJmOTNiMzY0MmYiLCJ1c2VySWQiOiIyNDk3MDU0NDYifQ==</vt:lpwstr>
  </property>
  <property fmtid="{D5CDD505-2E9C-101B-9397-08002B2CF9AE}" pid="4" name="ICV">
    <vt:lpwstr>C6D54FB78C7041AF9FE440E4808BA704_12</vt:lpwstr>
  </property>
</Properties>
</file>