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年度赤峰市松山区融媒体中心</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ind w:firstLine="2240" w:firstLineChars="700"/>
        <w:rPr>
          <w:rFonts w:ascii="仿宋" w:hAnsi="仿宋" w:eastAsia="仿宋"/>
          <w:b/>
          <w:sz w:val="32"/>
          <w:szCs w:val="32"/>
        </w:rPr>
        <w:sectPr>
          <w:footerReference r:id="rId4" w:type="default"/>
          <w:pgSz w:w="11906" w:h="16838"/>
          <w:pgMar w:top="1440" w:right="1083" w:bottom="1440" w:left="1083" w:header="0" w:footer="720" w:gutter="0"/>
          <w:cols w:space="720" w:num="1"/>
          <w:docGrid w:type="lines" w:linePitch="312"/>
        </w:sectPr>
      </w:pP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hint="eastAsia" w:ascii="仿宋_GB2312" w:hAnsi="仿宋_GB2312" w:eastAsia="仿宋_GB2312" w:cs="仿宋_GB2312"/>
          <w:kern w:val="0"/>
          <w:sz w:val="27"/>
          <w:szCs w:val="27"/>
          <w:lang w:val="en-US" w:eastAsia="zh-CN"/>
        </w:rPr>
        <w:t>2024</w:t>
      </w:r>
      <w:r>
        <w:rPr>
          <w:rFonts w:ascii="仿宋_GB2312" w:hAnsi="仿宋_GB2312" w:eastAsia="仿宋_GB2312" w:cs="仿宋_GB2312"/>
          <w:kern w:val="0"/>
          <w:sz w:val="27"/>
          <w:szCs w:val="27"/>
        </w:rPr>
        <w:t>年度单位主要工作完成情况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rPr>
          <w:rFonts w:ascii="fang_zheng_xiao_biao_song_ti" w:hAnsi="fang_zheng_xiao_biao_song_ti" w:eastAsia="fang_zheng_xiao_biao_song_ti" w:cs="fang_zheng_xiao_biao_song_ti"/>
          <w:kern w:val="0"/>
          <w:sz w:val="36"/>
          <w:szCs w:val="36"/>
        </w:rPr>
      </w:pP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一、主要职能、职责</w:t>
      </w:r>
    </w:p>
    <w:p>
      <w:pPr>
        <w:widowControl/>
        <w:spacing w:before="240" w:after="24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    </w:t>
      </w:r>
      <w:r>
        <w:rPr>
          <w:rFonts w:hint="eastAsia" w:ascii="仿宋_GB2312" w:hAnsi="仿宋_GB2312" w:eastAsia="仿宋_GB2312" w:cs="仿宋_GB2312"/>
          <w:color w:val="auto"/>
          <w:kern w:val="0"/>
          <w:sz w:val="27"/>
          <w:szCs w:val="27"/>
          <w:lang w:val="en-US" w:eastAsia="zh-CN"/>
        </w:rPr>
        <w:t xml:space="preserve"> 1、</w:t>
      </w:r>
      <w:r>
        <w:rPr>
          <w:rFonts w:hint="eastAsia" w:ascii="仿宋_GB2312" w:hAnsi="仿宋_GB2312" w:eastAsia="仿宋_GB2312" w:cs="仿宋_GB2312"/>
          <w:color w:val="auto"/>
          <w:kern w:val="0"/>
          <w:sz w:val="27"/>
          <w:szCs w:val="27"/>
        </w:rPr>
        <w:t>贯彻执行国家关于融媒体宣传工作的法律法规、规章和政策，把握正确的舆论和创作导向。宣传党和国家的路线、方针、政策和法律、政令、发挥舆论导向作用，把握新闻宣传基调，坚持正面宣传，为建设亮丽内蒙古、共圆伟大中国梦营造良好的舆论氛围。</w:t>
      </w:r>
    </w:p>
    <w:p>
      <w:pPr>
        <w:widowControl/>
        <w:spacing w:before="240" w:after="24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 xml:space="preserve"> </w:t>
      </w: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rPr>
        <w:t>整合区内广播、电视、报刊、新媒体等资源，构建一体化传播体系，利用媒体融合的优势进行内外宣传报道，传播新闻信息，搭建开展媒体服务、党建服务、政务服务等业务的融合媒体平台。</w:t>
      </w:r>
    </w:p>
    <w:p>
      <w:pPr>
        <w:widowControl/>
        <w:spacing w:before="240" w:after="24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 xml:space="preserve"> 3、</w:t>
      </w:r>
      <w:r>
        <w:rPr>
          <w:rFonts w:hint="eastAsia" w:ascii="仿宋_GB2312" w:hAnsi="仿宋_GB2312" w:eastAsia="仿宋_GB2312" w:cs="仿宋_GB2312"/>
          <w:color w:val="auto"/>
          <w:kern w:val="0"/>
          <w:sz w:val="27"/>
          <w:szCs w:val="27"/>
        </w:rPr>
        <w:t>负责全区传统媒体和新兴媒体各类宣传产品的策划、采制、审查、包装以及编排和管理工作，不断提高节目质量；负责广播电视节目的对外宣传工作，组织重大宣传报道活动，负责发展新媒体业务，拓宽宣传阵地和宣传渠道。</w:t>
      </w:r>
    </w:p>
    <w:p>
      <w:pPr>
        <w:widowControl/>
        <w:spacing w:before="240" w:after="24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 xml:space="preserve"> 4、</w:t>
      </w:r>
      <w:r>
        <w:rPr>
          <w:rFonts w:hint="eastAsia" w:ascii="仿宋_GB2312" w:hAnsi="仿宋_GB2312" w:eastAsia="仿宋_GB2312" w:cs="仿宋_GB2312"/>
          <w:color w:val="auto"/>
          <w:kern w:val="0"/>
          <w:sz w:val="27"/>
          <w:szCs w:val="27"/>
        </w:rPr>
        <w:t>负责全区农村有线电视网络运营、管理和技术服务；负责广播电视节目传输覆盖、监测、安全播出和指挥调度。</w:t>
      </w:r>
    </w:p>
    <w:p>
      <w:pPr>
        <w:widowControl/>
        <w:spacing w:before="240" w:after="240"/>
        <w:rPr>
          <w:rFonts w:ascii="仿宋_GB2312" w:hAnsi="仿宋_GB2312" w:eastAsia="仿宋_GB2312" w:cs="仿宋_GB2312"/>
          <w:color w:val="auto"/>
          <w:kern w:val="0"/>
          <w:sz w:val="27"/>
          <w:szCs w:val="27"/>
        </w:rPr>
      </w:pP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 xml:space="preserve"> 5、</w:t>
      </w:r>
      <w:r>
        <w:rPr>
          <w:rFonts w:hint="eastAsia" w:ascii="仿宋_GB2312" w:hAnsi="仿宋_GB2312" w:eastAsia="仿宋_GB2312" w:cs="仿宋_GB2312"/>
          <w:color w:val="auto"/>
          <w:kern w:val="0"/>
          <w:sz w:val="27"/>
          <w:szCs w:val="27"/>
        </w:rPr>
        <w:t>负责协助配合上级媒体和新闻单位来我区采访及其他工作。</w:t>
      </w:r>
    </w:p>
    <w:p>
      <w:pPr>
        <w:widowControl/>
        <w:spacing w:before="240" w:after="240"/>
        <w:rPr>
          <w:rFonts w:ascii="Times New Roman" w:hAnsi="Times New Roman" w:eastAsia="Times New Roman" w:cs="Times New Roman"/>
          <w:color w:val="auto"/>
          <w:kern w:val="0"/>
          <w:sz w:val="24"/>
        </w:rPr>
      </w:pP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color w:val="auto"/>
          <w:kern w:val="0"/>
          <w:sz w:val="27"/>
          <w:szCs w:val="27"/>
          <w:lang w:val="en-US" w:eastAsia="zh-CN"/>
        </w:rPr>
        <w:t xml:space="preserve"> 6、</w:t>
      </w:r>
      <w:r>
        <w:rPr>
          <w:rFonts w:hint="eastAsia" w:ascii="仿宋_GB2312" w:hAnsi="仿宋_GB2312" w:eastAsia="仿宋_GB2312" w:cs="仿宋_GB2312"/>
          <w:color w:val="auto"/>
          <w:kern w:val="0"/>
          <w:sz w:val="27"/>
          <w:szCs w:val="27"/>
        </w:rPr>
        <w:t>完成区委、区政府交办的其他任务。</w:t>
      </w:r>
    </w:p>
    <w:p>
      <w:pPr>
        <w:widowControl/>
        <w:spacing w:before="240" w:after="240"/>
        <w:ind w:firstLine="393"/>
        <w:jc w:val="left"/>
        <w:rPr>
          <w:rFonts w:ascii="黑体" w:hAnsi="黑体" w:eastAsia="黑体" w:cs="黑体"/>
          <w:b/>
          <w:bCs/>
          <w:kern w:val="0"/>
          <w:sz w:val="27"/>
          <w:szCs w:val="27"/>
        </w:rPr>
      </w:pP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二、单位机构设置及决算单位构成情况</w:t>
      </w:r>
    </w:p>
    <w:p>
      <w:pPr>
        <w:widowControl/>
        <w:spacing w:before="240" w:after="240"/>
        <w:ind w:firstLine="393"/>
        <w:jc w:val="left"/>
        <w:rPr>
          <w:rFonts w:hint="eastAsia" w:ascii="黑体" w:hAnsi="黑体" w:eastAsia="黑体" w:cs="黑体"/>
          <w:b/>
          <w:bCs/>
          <w:kern w:val="0"/>
          <w:sz w:val="27"/>
          <w:szCs w:val="27"/>
          <w:lang w:val="en-US" w:eastAsia="zh-CN"/>
        </w:rPr>
      </w:pPr>
    </w:p>
    <w:p>
      <w:pPr>
        <w:widowControl/>
        <w:spacing w:before="240" w:after="240"/>
        <w:rPr>
          <w:rFonts w:hint="eastAsia" w:ascii="仿宋_GB2312" w:hAnsi="仿宋_GB2312" w:eastAsia="仿宋_GB2312" w:cs="仿宋_GB2312"/>
          <w:kern w:val="0"/>
          <w:sz w:val="27"/>
          <w:szCs w:val="27"/>
          <w:lang w:val="en-US" w:eastAsia="zh-CN"/>
        </w:rPr>
      </w:pPr>
      <w:r>
        <w:rPr>
          <w:rFonts w:ascii="times_new_roman" w:hAnsi="times_new_roman" w:eastAsia="times_new_roman" w:cs="times_new_roman"/>
          <w:kern w:val="0"/>
          <w:sz w:val="27"/>
          <w:szCs w:val="27"/>
        </w:rPr>
        <w:t>   </w:t>
      </w:r>
      <w:r>
        <w:rPr>
          <w:rFonts w:hint="eastAsia" w:ascii="times_new_roman" w:hAnsi="times_new_roman" w:cs="times_new_roman"/>
          <w:kern w:val="0"/>
          <w:sz w:val="27"/>
          <w:szCs w:val="27"/>
          <w:lang w:val="en-US" w:eastAsia="zh-CN"/>
        </w:rPr>
        <w:t xml:space="preserve"> </w:t>
      </w:r>
      <w:r>
        <w:rPr>
          <w:rFonts w:hint="eastAsia" w:ascii="仿宋_GB2312" w:hAnsi="仿宋_GB2312" w:eastAsia="仿宋_GB2312" w:cs="仿宋_GB2312"/>
          <w:kern w:val="0"/>
          <w:sz w:val="27"/>
          <w:szCs w:val="27"/>
          <w:lang w:val="en-US" w:eastAsia="zh-CN"/>
        </w:rPr>
        <w:t>1、本单位赤峰市松山区融媒体中心，一级预算单位，报表类型为：单户表。根据单位职责分工，本单位内设机构包括办公室、记者部、编辑部、播音部、制作部、播出部六个部门。本单位无下属单位。</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w:t>
      </w:r>
      <w:r>
        <w:rPr>
          <w:rFonts w:hint="eastAsia" w:ascii="times_new_roman" w:hAnsi="times_new_roman" w:cs="times_new_roman"/>
          <w:kern w:val="0"/>
          <w:sz w:val="27"/>
          <w:szCs w:val="27"/>
          <w:lang w:val="en-US" w:eastAsia="zh-CN"/>
        </w:rPr>
        <w:t>2、</w:t>
      </w:r>
      <w:r>
        <w:rPr>
          <w:rFonts w:ascii="times_new_roman" w:hAnsi="times_new_roman" w:eastAsia="times_new_roman" w:cs="times_new_roman"/>
          <w:kern w:val="0"/>
          <w:sz w:val="27"/>
          <w:szCs w:val="27"/>
        </w:rPr>
        <w:t xml:space="preserve"> </w:t>
      </w: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eastAsia="zh-CN"/>
        </w:rPr>
        <w:t>赤峰市松山区融媒体中心</w:t>
      </w:r>
      <w:r>
        <w:rPr>
          <w:rFonts w:ascii="仿宋_GB2312" w:hAnsi="仿宋_GB2312" w:eastAsia="仿宋_GB2312" w:cs="仿宋_GB2312"/>
          <w:kern w:val="0"/>
          <w:sz w:val="27"/>
          <w:szCs w:val="27"/>
        </w:rPr>
        <w:t>本级。详细情况见表：</w:t>
      </w:r>
    </w:p>
    <w:tbl>
      <w:tblPr>
        <w:tblW w:w="8960" w:type="dxa"/>
        <w:jc w:val="center"/>
        <w:tblCellSpacing w:w="15" w:type="dxa"/>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049"/>
        <w:gridCol w:w="3382"/>
        <w:gridCol w:w="4529"/>
      </w:tblGrid>
      <w:tr>
        <w:trPr>
          <w:trHeight w:val="826" w:hRule="atLeast"/>
          <w:tblHeader/>
          <w:tblCellSpacing w:w="15" w:type="dxa"/>
          <w:jc w:val="center"/>
        </w:trPr>
        <w:tc>
          <w:tcPr>
            <w:tcW w:w="100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序号</w:t>
            </w:r>
          </w:p>
        </w:tc>
        <w:tc>
          <w:tcPr>
            <w:tcW w:w="3352"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单位名称</w:t>
            </w:r>
          </w:p>
        </w:tc>
        <w:tc>
          <w:tcPr>
            <w:tcW w:w="448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单位性质</w:t>
            </w:r>
          </w:p>
        </w:tc>
      </w:tr>
      <w:tr>
        <w:trPr>
          <w:trHeight w:val="645" w:hRule="atLeast"/>
          <w:tblCellSpacing w:w="15" w:type="dxa"/>
          <w:jc w:val="center"/>
        </w:trPr>
        <w:tc>
          <w:tcPr>
            <w:tcW w:w="100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1</w:t>
            </w:r>
          </w:p>
        </w:tc>
        <w:tc>
          <w:tcPr>
            <w:tcW w:w="3352"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p>
        </w:tc>
        <w:tc>
          <w:tcPr>
            <w:tcW w:w="448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行政单位</w:t>
            </w:r>
          </w:p>
        </w:tc>
      </w:tr>
      <w:tr>
        <w:trPr>
          <w:trHeight w:val="645" w:hRule="atLeast"/>
          <w:tblCellSpacing w:w="15" w:type="dxa"/>
          <w:jc w:val="center"/>
        </w:trPr>
        <w:tc>
          <w:tcPr>
            <w:tcW w:w="100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2</w:t>
            </w:r>
          </w:p>
        </w:tc>
        <w:tc>
          <w:tcPr>
            <w:tcW w:w="3352"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p>
        </w:tc>
        <w:tc>
          <w:tcPr>
            <w:tcW w:w="448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参照公务员法管理的事业单位</w:t>
            </w:r>
          </w:p>
        </w:tc>
      </w:tr>
      <w:tr>
        <w:trPr>
          <w:trHeight w:val="645" w:hRule="atLeast"/>
          <w:tblCellSpacing w:w="15" w:type="dxa"/>
          <w:jc w:val="center"/>
        </w:trPr>
        <w:tc>
          <w:tcPr>
            <w:tcW w:w="100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3</w:t>
            </w:r>
          </w:p>
        </w:tc>
        <w:tc>
          <w:tcPr>
            <w:tcW w:w="3352"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eastAsia" w:ascii="Times New Roman" w:hAnsi="Times New Roman" w:eastAsia="宋体" w:cs="Times New Roman"/>
                <w:b w:val="0"/>
                <w:bCs w:val="0"/>
                <w:i w:val="0"/>
                <w:iCs w:val="0"/>
                <w:smallCaps w:val="0"/>
                <w:color w:val="000000"/>
                <w:kern w:val="0"/>
                <w:sz w:val="24"/>
                <w:szCs w:val="22"/>
                <w:lang w:eastAsia="zh-CN"/>
              </w:rPr>
            </w:pPr>
            <w:r>
              <w:rPr>
                <w:rFonts w:hint="eastAsia" w:ascii="Calibri" w:hAnsi="Calibri" w:cs="Times New Roman"/>
                <w:b w:val="0"/>
                <w:bCs w:val="0"/>
                <w:i w:val="0"/>
                <w:iCs w:val="0"/>
                <w:smallCaps w:val="0"/>
                <w:color w:val="000000"/>
                <w:kern w:val="0"/>
                <w:sz w:val="24"/>
                <w:szCs w:val="22"/>
                <w:lang w:eastAsia="zh-CN"/>
              </w:rPr>
              <w:t>赤峰市松山区融媒体中心</w:t>
            </w:r>
          </w:p>
        </w:tc>
        <w:tc>
          <w:tcPr>
            <w:tcW w:w="448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公益一类事业单位</w:t>
            </w:r>
          </w:p>
        </w:tc>
      </w:tr>
      <w:tr>
        <w:trPr>
          <w:trHeight w:val="784" w:hRule="atLeast"/>
          <w:tblCellSpacing w:w="15" w:type="dxa"/>
          <w:jc w:val="center"/>
        </w:trPr>
        <w:tc>
          <w:tcPr>
            <w:tcW w:w="100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center"/>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4</w:t>
            </w:r>
          </w:p>
        </w:tc>
        <w:tc>
          <w:tcPr>
            <w:tcW w:w="3352"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p>
        </w:tc>
        <w:tc>
          <w:tcPr>
            <w:tcW w:w="448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pPr>
              <w:widowControl/>
              <w:spacing w:before="0" w:beforeAutospacing="0" w:after="0" w:afterAutospacing="0"/>
              <w:ind w:left="0" w:right="0"/>
              <w:jc w:val="left"/>
              <w:rPr>
                <w:rFonts w:hint="default" w:ascii="Times New Roman" w:hAnsi="Times New Roman" w:eastAsia="Times New Roman" w:cs="Times New Roman"/>
                <w:b w:val="0"/>
                <w:bCs w:val="0"/>
                <w:i w:val="0"/>
                <w:iCs w:val="0"/>
                <w:smallCaps w:val="0"/>
                <w:color w:val="000000"/>
                <w:kern w:val="0"/>
                <w:sz w:val="24"/>
                <w:szCs w:val="22"/>
              </w:rPr>
            </w:pPr>
            <w:r>
              <w:rPr>
                <w:rFonts w:hint="default" w:ascii="仿宋_GB2312" w:hAnsi="仿宋_GB2312" w:eastAsia="仿宋_GB2312" w:cs="仿宋_GB2312"/>
                <w:b w:val="0"/>
                <w:bCs w:val="0"/>
                <w:i w:val="0"/>
                <w:iCs w:val="0"/>
                <w:smallCaps w:val="0"/>
                <w:color w:val="000000"/>
                <w:kern w:val="0"/>
                <w:sz w:val="24"/>
                <w:szCs w:val="22"/>
              </w:rPr>
              <w:t>公益二类事业单位</w:t>
            </w: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黑体" w:hAnsi="黑体" w:eastAsia="黑体" w:cs="黑体"/>
          <w:b/>
          <w:bCs/>
          <w:kern w:val="0"/>
          <w:sz w:val="27"/>
          <w:szCs w:val="27"/>
        </w:rPr>
        <w:t xml:space="preserve"> 三、2024年度单位主要工作完成情况</w:t>
      </w:r>
    </w:p>
    <w:p>
      <w:pPr>
        <w:widowControl/>
        <w:spacing w:before="240" w:after="240"/>
        <w:jc w:val="left"/>
        <w:rPr>
          <w:rFonts w:hint="eastAsia" w:ascii="仿宋_GB2312" w:hAnsi="仿宋_GB2312" w:eastAsia="仿宋_GB2312" w:cs="仿宋_GB2312"/>
          <w:color w:val="auto"/>
          <w:kern w:val="0"/>
          <w:sz w:val="27"/>
          <w:szCs w:val="27"/>
          <w:lang w:val="en-US" w:eastAsia="zh-CN"/>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auto"/>
          <w:kern w:val="0"/>
          <w:sz w:val="27"/>
          <w:szCs w:val="27"/>
        </w:rPr>
        <w:t xml:space="preserve"> </w:t>
      </w:r>
      <w:r>
        <w:rPr>
          <w:rFonts w:hint="eastAsia" w:ascii="仿宋_GB2312" w:hAnsi="仿宋_GB2312" w:eastAsia="仿宋_GB2312" w:cs="仿宋_GB2312"/>
          <w:b/>
          <w:bCs/>
          <w:color w:val="auto"/>
          <w:kern w:val="0"/>
          <w:sz w:val="27"/>
          <w:szCs w:val="27"/>
          <w:lang w:val="en-US" w:eastAsia="zh-CN"/>
        </w:rPr>
        <w:t>一、不忘初心强队伍，着力推动党建工作提质增效</w:t>
      </w:r>
    </w:p>
    <w:p>
      <w:pPr>
        <w:widowControl/>
        <w:spacing w:before="240" w:after="240"/>
        <w:jc w:val="left"/>
        <w:rPr>
          <w:rFonts w:hint="eastAsia" w:ascii="仿宋_GB2312" w:hAnsi="仿宋_GB2312" w:eastAsia="仿宋_GB2312" w:cs="仿宋_GB2312"/>
          <w:color w:val="auto"/>
          <w:kern w:val="0"/>
          <w:sz w:val="27"/>
          <w:szCs w:val="27"/>
          <w:lang w:val="en-US" w:eastAsia="zh-CN"/>
        </w:rPr>
      </w:pPr>
      <w:r>
        <w:rPr>
          <w:rFonts w:hint="eastAsia" w:ascii="仿宋_GB2312" w:hAnsi="仿宋_GB2312" w:eastAsia="仿宋_GB2312" w:cs="仿宋_GB2312"/>
          <w:color w:val="auto"/>
          <w:kern w:val="0"/>
          <w:sz w:val="27"/>
          <w:szCs w:val="27"/>
          <w:lang w:val="en-US" w:eastAsia="zh-CN"/>
        </w:rPr>
        <w:t xml:space="preserve">    </w:t>
      </w:r>
      <w:r>
        <w:rPr>
          <w:rFonts w:hint="eastAsia" w:ascii="仿宋_GB2312" w:hAnsi="仿宋_GB2312" w:eastAsia="仿宋_GB2312" w:cs="仿宋_GB2312"/>
          <w:color w:val="auto"/>
          <w:kern w:val="0"/>
          <w:sz w:val="27"/>
          <w:szCs w:val="27"/>
        </w:rPr>
        <w:t>一是坚守意识形态阵地，弘扬正确价值观</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lang w:val="en-US" w:eastAsia="zh-CN"/>
        </w:rPr>
        <w:t>中心党支部</w:t>
      </w:r>
      <w:r>
        <w:rPr>
          <w:rFonts w:hint="eastAsia" w:ascii="仿宋_GB2312" w:hAnsi="仿宋_GB2312" w:eastAsia="仿宋_GB2312" w:cs="仿宋_GB2312"/>
          <w:color w:val="auto"/>
          <w:kern w:val="0"/>
          <w:sz w:val="27"/>
          <w:szCs w:val="27"/>
        </w:rPr>
        <w:t>严格落实</w:t>
      </w:r>
      <w:r>
        <w:rPr>
          <w:rFonts w:hint="eastAsia" w:ascii="仿宋_GB2312" w:hAnsi="仿宋_GB2312" w:eastAsia="仿宋_GB2312" w:cs="仿宋_GB2312"/>
          <w:color w:val="auto"/>
          <w:kern w:val="0"/>
          <w:sz w:val="27"/>
          <w:szCs w:val="27"/>
          <w:lang w:val="en-US" w:eastAsia="zh-CN"/>
        </w:rPr>
        <w:t>党风</w:t>
      </w:r>
      <w:r>
        <w:rPr>
          <w:rFonts w:hint="eastAsia" w:ascii="仿宋_GB2312" w:hAnsi="仿宋_GB2312" w:eastAsia="仿宋_GB2312" w:cs="仿宋_GB2312"/>
          <w:color w:val="auto"/>
          <w:kern w:val="0"/>
          <w:sz w:val="27"/>
          <w:szCs w:val="27"/>
        </w:rPr>
        <w:t>廉政</w:t>
      </w:r>
      <w:r>
        <w:rPr>
          <w:rFonts w:hint="eastAsia" w:ascii="仿宋_GB2312" w:hAnsi="仿宋_GB2312" w:eastAsia="仿宋_GB2312" w:cs="仿宋_GB2312"/>
          <w:color w:val="auto"/>
          <w:kern w:val="0"/>
          <w:sz w:val="27"/>
          <w:szCs w:val="27"/>
          <w:lang w:val="en-US" w:eastAsia="zh-CN"/>
        </w:rPr>
        <w:t>建设</w:t>
      </w:r>
      <w:r>
        <w:rPr>
          <w:rFonts w:hint="eastAsia" w:ascii="仿宋_GB2312" w:hAnsi="仿宋_GB2312" w:eastAsia="仿宋_GB2312" w:cs="仿宋_GB2312"/>
          <w:color w:val="auto"/>
          <w:kern w:val="0"/>
          <w:sz w:val="27"/>
          <w:szCs w:val="27"/>
        </w:rPr>
        <w:t>主体责任，健全意识形态工作管理体系，本年度召开意识形态领域安排部署会议及相关学习4次，意识形态分析研判会2次,及时查找各部门存在的风险点和苗头性问题</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rPr>
        <w:t>理论中心组开展专题学习及研讨</w:t>
      </w:r>
      <w:r>
        <w:rPr>
          <w:rFonts w:hint="eastAsia" w:ascii="仿宋_GB2312" w:hAnsi="仿宋_GB2312" w:eastAsia="仿宋_GB2312" w:cs="仿宋_GB2312"/>
          <w:color w:val="auto"/>
          <w:kern w:val="0"/>
          <w:sz w:val="27"/>
          <w:szCs w:val="27"/>
          <w:lang w:val="en-US" w:eastAsia="zh-CN"/>
        </w:rPr>
        <w:t>14</w:t>
      </w:r>
      <w:r>
        <w:rPr>
          <w:rFonts w:hint="eastAsia" w:ascii="仿宋_GB2312" w:hAnsi="仿宋_GB2312" w:eastAsia="仿宋_GB2312" w:cs="仿宋_GB2312"/>
          <w:color w:val="auto"/>
          <w:kern w:val="0"/>
          <w:sz w:val="27"/>
          <w:szCs w:val="27"/>
        </w:rPr>
        <w:t>次。二是强化政治理论武装，筑牢队伍思想之魂。中心</w:t>
      </w:r>
      <w:r>
        <w:rPr>
          <w:rFonts w:hint="eastAsia" w:ascii="仿宋_GB2312" w:hAnsi="仿宋_GB2312" w:eastAsia="仿宋_GB2312" w:cs="仿宋_GB2312"/>
          <w:color w:val="auto"/>
          <w:kern w:val="0"/>
          <w:sz w:val="27"/>
          <w:szCs w:val="27"/>
          <w:lang w:val="en-US" w:eastAsia="zh-CN"/>
        </w:rPr>
        <w:t>党支部</w:t>
      </w:r>
      <w:r>
        <w:rPr>
          <w:rFonts w:hint="eastAsia" w:ascii="仿宋_GB2312" w:hAnsi="仿宋_GB2312" w:eastAsia="仿宋_GB2312" w:cs="仿宋_GB2312"/>
          <w:color w:val="auto"/>
          <w:kern w:val="0"/>
          <w:sz w:val="27"/>
          <w:szCs w:val="27"/>
        </w:rPr>
        <w:t>始终坚持把党员干部教育作为党的建设的基础工作和长期任务，年内，</w:t>
      </w:r>
      <w:r>
        <w:rPr>
          <w:rFonts w:hint="eastAsia" w:ascii="仿宋_GB2312" w:hAnsi="仿宋_GB2312" w:eastAsia="仿宋_GB2312" w:cs="仿宋_GB2312"/>
          <w:color w:val="auto"/>
          <w:kern w:val="0"/>
          <w:sz w:val="27"/>
          <w:szCs w:val="27"/>
          <w:lang w:val="en-US" w:eastAsia="zh-CN"/>
        </w:rPr>
        <w:t>组织</w:t>
      </w:r>
      <w:r>
        <w:rPr>
          <w:rFonts w:hint="eastAsia" w:ascii="仿宋_GB2312" w:hAnsi="仿宋_GB2312" w:eastAsia="仿宋_GB2312" w:cs="仿宋_GB2312"/>
          <w:color w:val="auto"/>
          <w:kern w:val="0"/>
          <w:sz w:val="27"/>
          <w:szCs w:val="27"/>
        </w:rPr>
        <w:t>基层党组织书记讲党课3次，支部党员大会学习6次，召开支委会以及党小组会议20次,组织主题党日活动13次,全面强化思想“领航力”，营造全员参与、学思践悟的浓厚氛围。三是深化中心作风建设，强化媒体责任担当。紧扣党纪学习教育工作的开展，领导班子按计划带头领学《中国共产党纪律处分条例》，并开展交流研讨</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rPr>
        <w:t>召开支部安排部署</w:t>
      </w:r>
      <w:r>
        <w:rPr>
          <w:rFonts w:hint="eastAsia" w:ascii="仿宋_GB2312" w:hAnsi="仿宋_GB2312" w:eastAsia="仿宋_GB2312" w:cs="仿宋_GB2312"/>
          <w:color w:val="auto"/>
          <w:kern w:val="0"/>
          <w:sz w:val="27"/>
          <w:szCs w:val="27"/>
          <w:lang w:val="en-US" w:eastAsia="zh-CN"/>
        </w:rPr>
        <w:t>及相关学习</w:t>
      </w:r>
      <w:r>
        <w:rPr>
          <w:rFonts w:hint="eastAsia" w:ascii="仿宋_GB2312" w:hAnsi="仿宋_GB2312" w:eastAsia="仿宋_GB2312" w:cs="仿宋_GB2312"/>
          <w:color w:val="auto"/>
          <w:kern w:val="0"/>
          <w:sz w:val="27"/>
          <w:szCs w:val="27"/>
        </w:rPr>
        <w:t>会议</w:t>
      </w:r>
      <w:r>
        <w:rPr>
          <w:rFonts w:hint="eastAsia" w:ascii="仿宋_GB2312" w:hAnsi="仿宋_GB2312" w:eastAsia="仿宋_GB2312" w:cs="仿宋_GB2312"/>
          <w:color w:val="auto"/>
          <w:kern w:val="0"/>
          <w:sz w:val="27"/>
          <w:szCs w:val="27"/>
          <w:lang w:val="en-US" w:eastAsia="zh-CN"/>
        </w:rPr>
        <w:t>12</w:t>
      </w:r>
      <w:r>
        <w:rPr>
          <w:rFonts w:hint="eastAsia" w:ascii="仿宋_GB2312" w:hAnsi="仿宋_GB2312" w:eastAsia="仿宋_GB2312" w:cs="仿宋_GB2312"/>
          <w:color w:val="auto"/>
          <w:kern w:val="0"/>
          <w:sz w:val="27"/>
          <w:szCs w:val="27"/>
        </w:rPr>
        <w:t>次，支部书记讲纪律党课</w:t>
      </w:r>
      <w:r>
        <w:rPr>
          <w:rFonts w:hint="eastAsia" w:ascii="仿宋_GB2312" w:hAnsi="仿宋_GB2312" w:eastAsia="仿宋_GB2312" w:cs="仿宋_GB2312"/>
          <w:color w:val="auto"/>
          <w:kern w:val="0"/>
          <w:sz w:val="27"/>
          <w:szCs w:val="27"/>
          <w:lang w:val="en-US" w:eastAsia="zh-CN"/>
        </w:rPr>
        <w:t>1</w:t>
      </w:r>
      <w:r>
        <w:rPr>
          <w:rFonts w:hint="eastAsia" w:ascii="仿宋_GB2312" w:hAnsi="仿宋_GB2312" w:eastAsia="仿宋_GB2312" w:cs="仿宋_GB2312"/>
          <w:color w:val="auto"/>
          <w:kern w:val="0"/>
          <w:sz w:val="27"/>
          <w:szCs w:val="27"/>
        </w:rPr>
        <w:t>次，进行廉政谈话</w:t>
      </w:r>
      <w:r>
        <w:rPr>
          <w:rFonts w:hint="eastAsia" w:ascii="仿宋_GB2312" w:hAnsi="仿宋_GB2312" w:eastAsia="仿宋_GB2312" w:cs="仿宋_GB2312"/>
          <w:color w:val="auto"/>
          <w:kern w:val="0"/>
          <w:sz w:val="27"/>
          <w:szCs w:val="27"/>
          <w:lang w:val="en-US" w:eastAsia="zh-CN"/>
        </w:rPr>
        <w:t>2</w:t>
      </w:r>
      <w:r>
        <w:rPr>
          <w:rFonts w:hint="eastAsia" w:ascii="仿宋_GB2312" w:hAnsi="仿宋_GB2312" w:eastAsia="仿宋_GB2312" w:cs="仿宋_GB2312"/>
          <w:color w:val="auto"/>
          <w:kern w:val="0"/>
          <w:sz w:val="27"/>
          <w:szCs w:val="27"/>
        </w:rPr>
        <w:t>次，开展廉政警示教育</w:t>
      </w:r>
      <w:r>
        <w:rPr>
          <w:rFonts w:hint="eastAsia" w:ascii="仿宋_GB2312" w:hAnsi="仿宋_GB2312" w:eastAsia="仿宋_GB2312" w:cs="仿宋_GB2312"/>
          <w:color w:val="auto"/>
          <w:kern w:val="0"/>
          <w:sz w:val="27"/>
          <w:szCs w:val="27"/>
          <w:lang w:val="en-US" w:eastAsia="zh-CN"/>
        </w:rPr>
        <w:t>3</w:t>
      </w:r>
      <w:r>
        <w:rPr>
          <w:rFonts w:hint="eastAsia" w:ascii="仿宋_GB2312" w:hAnsi="仿宋_GB2312" w:eastAsia="仿宋_GB2312" w:cs="仿宋_GB2312"/>
          <w:color w:val="auto"/>
          <w:kern w:val="0"/>
          <w:sz w:val="27"/>
          <w:szCs w:val="27"/>
        </w:rPr>
        <w:t>次，全面增强了中心党员干部的廉洁自律意识。</w:t>
      </w:r>
    </w:p>
    <w:p>
      <w:pPr>
        <w:widowControl/>
        <w:spacing w:before="240" w:after="240"/>
        <w:jc w:val="left"/>
        <w:rPr>
          <w:rFonts w:hint="eastAsia" w:ascii="仿宋_GB2312" w:hAnsi="仿宋_GB2312" w:eastAsia="仿宋_GB2312" w:cs="仿宋_GB2312"/>
          <w:b/>
          <w:bCs/>
          <w:color w:val="auto"/>
          <w:kern w:val="0"/>
          <w:sz w:val="27"/>
          <w:szCs w:val="27"/>
          <w:lang w:val="en-US" w:eastAsia="zh-CN"/>
        </w:rPr>
      </w:pPr>
      <w:r>
        <w:rPr>
          <w:rFonts w:hint="eastAsia" w:ascii="仿宋_GB2312" w:hAnsi="仿宋_GB2312" w:eastAsia="仿宋_GB2312" w:cs="仿宋_GB2312"/>
          <w:color w:val="auto"/>
          <w:kern w:val="0"/>
          <w:sz w:val="27"/>
          <w:szCs w:val="27"/>
          <w:lang w:val="en-US" w:eastAsia="zh-CN"/>
        </w:rPr>
        <w:t xml:space="preserve">    </w:t>
      </w:r>
      <w:r>
        <w:rPr>
          <w:rFonts w:hint="eastAsia" w:ascii="仿宋_GB2312" w:hAnsi="仿宋_GB2312" w:eastAsia="仿宋_GB2312" w:cs="仿宋_GB2312"/>
          <w:b/>
          <w:bCs/>
          <w:color w:val="auto"/>
          <w:kern w:val="0"/>
          <w:sz w:val="27"/>
          <w:szCs w:val="27"/>
          <w:lang w:val="en-US" w:eastAsia="zh-CN"/>
        </w:rPr>
        <w:t>二、敢为人先促创新，不断深化媒体融合纵深发展</w:t>
      </w:r>
    </w:p>
    <w:p>
      <w:pPr>
        <w:widowControl/>
        <w:spacing w:before="240" w:after="240"/>
        <w:jc w:val="left"/>
        <w:rPr>
          <w:rFonts w:hint="eastAsia" w:ascii="仿宋_GB2312" w:hAnsi="仿宋_GB2312" w:eastAsia="仿宋_GB2312" w:cs="仿宋_GB2312"/>
          <w:color w:val="auto"/>
          <w:kern w:val="0"/>
          <w:sz w:val="27"/>
          <w:szCs w:val="27"/>
          <w:lang w:val="en-US" w:eastAsia="zh-CN"/>
        </w:rPr>
      </w:pPr>
      <w:r>
        <w:rPr>
          <w:rFonts w:hint="eastAsia" w:ascii="仿宋_GB2312" w:hAnsi="仿宋_GB2312" w:eastAsia="仿宋_GB2312" w:cs="仿宋_GB2312"/>
          <w:color w:val="auto"/>
          <w:kern w:val="0"/>
          <w:sz w:val="27"/>
          <w:szCs w:val="27"/>
          <w:lang w:val="en-US" w:eastAsia="zh-CN"/>
        </w:rPr>
        <w:t xml:space="preserve">    在媒体融合不断深化的背景下，区融媒体中心积极顺应媒体融合发展趋势，把移动端优先贯穿到新闻宣传工作全流程、各领域，坚持内容为王，充分发挥多平台联动优势，强化和细化新闻前期策划，探索创新传播方式，充分运用新媒体技术制作群众喜闻乐见的新闻产品。一是以图文+视频的形式发布了《大夫营子乡：吹响5万亩藜麦种植“集结号”》《内蒙古好物赤峰都有啥？松山区大庙番茄“被点名”→》《丰收的松山，给你点“颜色”看看！》等新闻产品。二是探索使用AI辅助内容技术，制作发布《当同华巷遇上AI，这是漫画里的春天吧！》，突破了传统实景视频在呈现效果上的局限性，给用户带来了多元化地审美体验。三是聚合多媒体资源，联动微信公众号、抖音、视频等多个平台发起“松山优选”助农直播2场，推介松山区本地优质产品。</w:t>
      </w:r>
    </w:p>
    <w:p>
      <w:pPr>
        <w:widowControl/>
        <w:spacing w:before="240" w:after="240"/>
        <w:jc w:val="left"/>
        <w:rPr>
          <w:rFonts w:hint="eastAsia" w:ascii="仿宋_GB2312" w:hAnsi="仿宋_GB2312" w:eastAsia="仿宋_GB2312" w:cs="仿宋_GB2312"/>
          <w:color w:val="auto"/>
          <w:kern w:val="0"/>
          <w:sz w:val="27"/>
          <w:szCs w:val="27"/>
          <w:lang w:val="en-US" w:eastAsia="zh-CN"/>
        </w:rPr>
      </w:pPr>
      <w:r>
        <w:rPr>
          <w:rFonts w:hint="eastAsia" w:ascii="仿宋_GB2312" w:hAnsi="仿宋_GB2312" w:eastAsia="仿宋_GB2312" w:cs="仿宋_GB2312"/>
          <w:color w:val="auto"/>
          <w:kern w:val="0"/>
          <w:sz w:val="27"/>
          <w:szCs w:val="27"/>
          <w:lang w:val="en-US" w:eastAsia="zh-CN"/>
        </w:rPr>
        <w:t xml:space="preserve">    </w:t>
      </w:r>
      <w:r>
        <w:rPr>
          <w:rFonts w:hint="eastAsia" w:ascii="仿宋_GB2312" w:hAnsi="仿宋_GB2312" w:eastAsia="仿宋_GB2312" w:cs="仿宋_GB2312"/>
          <w:b/>
          <w:bCs/>
          <w:color w:val="auto"/>
          <w:kern w:val="0"/>
          <w:sz w:val="27"/>
          <w:szCs w:val="27"/>
          <w:lang w:val="en-US" w:eastAsia="zh-CN"/>
        </w:rPr>
        <w:t>三、齐心协力固根本，积极营造宣传舆论良好氛围</w:t>
      </w:r>
    </w:p>
    <w:p>
      <w:pPr>
        <w:widowControl/>
        <w:spacing w:before="240" w:after="240"/>
        <w:jc w:val="left"/>
        <w:rPr>
          <w:rFonts w:hint="eastAsia" w:ascii="仿宋_GB2312" w:hAnsi="仿宋_GB2312" w:eastAsia="仿宋_GB2312" w:cs="仿宋_GB2312"/>
          <w:color w:val="auto"/>
          <w:kern w:val="0"/>
          <w:sz w:val="27"/>
          <w:szCs w:val="27"/>
          <w:lang w:val="en-US" w:eastAsia="zh-CN"/>
        </w:rPr>
      </w:pPr>
      <w:r>
        <w:rPr>
          <w:rFonts w:hint="eastAsia" w:ascii="仿宋_GB2312" w:hAnsi="仿宋_GB2312" w:eastAsia="仿宋_GB2312" w:cs="仿宋_GB2312"/>
          <w:color w:val="auto"/>
          <w:kern w:val="0"/>
          <w:sz w:val="27"/>
          <w:szCs w:val="27"/>
          <w:lang w:val="en-US" w:eastAsia="zh-CN"/>
        </w:rPr>
        <w:t xml:space="preserve">    一是紧扣时代主题，提升新闻宣传质效。</w:t>
      </w:r>
      <w:r>
        <w:rPr>
          <w:rFonts w:hint="eastAsia" w:ascii="仿宋_GB2312" w:hAnsi="仿宋_GB2312" w:eastAsia="仿宋_GB2312" w:cs="仿宋_GB2312"/>
          <w:color w:val="auto"/>
          <w:kern w:val="0"/>
          <w:sz w:val="27"/>
          <w:szCs w:val="27"/>
        </w:rPr>
        <w:t>紧紧围绕区委、区政府工作重点</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rPr>
        <w:t>加强策划，设计专题，紧跟各时段的工作任务和重点，</w:t>
      </w:r>
      <w:r>
        <w:rPr>
          <w:rFonts w:hint="eastAsia" w:ascii="仿宋_GB2312" w:hAnsi="仿宋_GB2312" w:eastAsia="仿宋_GB2312" w:cs="仿宋_GB2312"/>
          <w:color w:val="auto"/>
          <w:kern w:val="0"/>
          <w:sz w:val="27"/>
          <w:szCs w:val="27"/>
          <w:lang w:val="en-US" w:eastAsia="zh-CN"/>
        </w:rPr>
        <w:t>开设了《学习贯彻党的二十届三中全会精神》《奋进强国路 阔步新征程》《诚信立形象 实干开新局》《大美松山我的家》《弘扬北疆文化 赓续中华文脉》等专题专栏39个，截止11月，“今日松山”全媒体平台发布各类新闻产品近1.5万条，其中电视新闻栏目发布稿件1000余条，微信公众号发布推文近2000篇，手机客户端发布内容9000余条，抖音号、视频号等短视频平台发布短视频产品1100余条，微博号累计发布图文、视频等新闻产品1500余条</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lang w:val="en-US" w:eastAsia="zh-CN"/>
        </w:rPr>
        <w:t>二是筑实宣传平台，加强全媒体传播力。“今日松山”作为我区主流宣传媒体，充分发挥喉舌作用，全面提升舆论引导力、传播力。今年以来，“今日松山”各平台粉丝量均有所增加，微信公众号粉丝量超过23万，抖音号粉丝量1.5万，微博号关注人数2.1万，全媒体浏览量超过1748万/人次，浏览量100万以上的新闻产品1条，10万以上的新闻产品8条，1万以上的新闻产品510条；“今日松山”微信公众号、抖音号、微博号始终保持在赤峰市和自治区旗县（市、区）融媒体中心媒体号影响力排名前列。其中，“今日松山”微信公众号在全市媒体号排名第五，旗县级媒体号排名第一；在自治区103个旗县融媒体中心媒体排行榜上，“今日松山”微信公众号排名第11名，抖音号排名第6名，微博号排名第5名。三是讲好松山故事，拓展对外宣传渠道。今年，“今日松山”各媒体平台积极向新华社、央广网、草原云、奔腾融媒等平台推送各类原创产品。微信公众号首发稿件被新华社、人民网、央广网等中央级媒体转发12篇，被自治区级媒体转发15篇，其中作品《松山区探索推进城乡“用工互融”新模式，破解就业、用工双难题》分别被新华社、人民日报、央广网、工人日报、中国新闻网等平台转载，累计传播量超过100万，作品《青春秀 民族风：松山区的团结范儿》被新华社、赤峰日报客户端刊发，累计阅读量超46万；电视新闻原创稿件被</w:t>
      </w:r>
      <w:r>
        <w:rPr>
          <w:rFonts w:hint="eastAsia" w:ascii="仿宋_GB2312" w:hAnsi="仿宋_GB2312" w:eastAsia="仿宋_GB2312" w:cs="仿宋_GB2312"/>
          <w:color w:val="auto"/>
          <w:kern w:val="0"/>
          <w:sz w:val="27"/>
          <w:szCs w:val="27"/>
        </w:rPr>
        <w:t>新华网内蒙古频道、人民网内蒙古频道、</w:t>
      </w:r>
      <w:r>
        <w:rPr>
          <w:rFonts w:hint="eastAsia" w:ascii="仿宋_GB2312" w:hAnsi="仿宋_GB2312" w:eastAsia="仿宋_GB2312" w:cs="仿宋_GB2312"/>
          <w:color w:val="auto"/>
          <w:kern w:val="0"/>
          <w:sz w:val="27"/>
          <w:szCs w:val="27"/>
          <w:lang w:val="en-US" w:eastAsia="zh-CN"/>
        </w:rPr>
        <w:t>赤峰市人民政府官网、</w:t>
      </w:r>
      <w:r>
        <w:rPr>
          <w:rFonts w:hint="eastAsia" w:ascii="仿宋_GB2312" w:hAnsi="仿宋_GB2312" w:eastAsia="仿宋_GB2312" w:cs="仿宋_GB2312"/>
          <w:color w:val="auto"/>
          <w:kern w:val="0"/>
          <w:sz w:val="27"/>
          <w:szCs w:val="27"/>
        </w:rPr>
        <w:t>赤峰</w:t>
      </w:r>
      <w:r>
        <w:rPr>
          <w:rFonts w:hint="eastAsia" w:ascii="仿宋_GB2312" w:hAnsi="仿宋_GB2312" w:eastAsia="仿宋_GB2312" w:cs="仿宋_GB2312"/>
          <w:color w:val="auto"/>
          <w:kern w:val="0"/>
          <w:sz w:val="27"/>
          <w:szCs w:val="27"/>
          <w:lang w:val="en-US" w:eastAsia="zh-CN"/>
        </w:rPr>
        <w:t>日报、赤峰新闻等</w:t>
      </w:r>
      <w:r>
        <w:rPr>
          <w:rFonts w:hint="eastAsia" w:ascii="仿宋_GB2312" w:hAnsi="仿宋_GB2312" w:eastAsia="仿宋_GB2312" w:cs="仿宋_GB2312"/>
          <w:color w:val="auto"/>
          <w:kern w:val="0"/>
          <w:sz w:val="27"/>
          <w:szCs w:val="27"/>
        </w:rPr>
        <w:t>多家权威性媒体</w:t>
      </w:r>
      <w:r>
        <w:rPr>
          <w:rFonts w:hint="eastAsia" w:ascii="仿宋_GB2312" w:hAnsi="仿宋_GB2312" w:eastAsia="仿宋_GB2312" w:cs="仿宋_GB2312"/>
          <w:color w:val="auto"/>
          <w:kern w:val="0"/>
          <w:sz w:val="27"/>
          <w:szCs w:val="27"/>
          <w:lang w:val="en-US" w:eastAsia="zh-CN"/>
        </w:rPr>
        <w:t>转载240余条。 四是立足服务为本，规范基层广电工作。今年，“松山有线”电视频道</w:t>
      </w:r>
      <w:r>
        <w:rPr>
          <w:rFonts w:hint="eastAsia" w:ascii="仿宋_GB2312" w:hAnsi="仿宋_GB2312" w:eastAsia="仿宋_GB2312" w:cs="仿宋_GB2312"/>
          <w:color w:val="auto"/>
          <w:kern w:val="0"/>
          <w:sz w:val="27"/>
          <w:szCs w:val="27"/>
        </w:rPr>
        <w:t>保质保量的完成了全年播出任务，累计安全播出4898小时</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lang w:val="en-US" w:eastAsia="zh-CN"/>
        </w:rPr>
        <w:t>农村公益电影放映圆满完成了我区“一村一月一场”的放映任务，并组织开展了“强国复兴有我”、“光影北疆行”等主旋律电影放映活动，全年完成放映场次2928场，累计观影人数达30.5万人次，丰富了农民群众的精神文化生活。</w:t>
      </w:r>
    </w:p>
    <w:p>
      <w:pPr>
        <w:widowControl/>
        <w:spacing w:before="240" w:after="240"/>
        <w:jc w:val="left"/>
        <w:rPr>
          <w:rFonts w:ascii="Times New Roman" w:hAnsi="Times New Roman" w:eastAsia="Times New Roman" w:cs="Times New Roman"/>
          <w:color w:val="auto"/>
          <w:kern w:val="0"/>
          <w:sz w:val="24"/>
        </w:rPr>
      </w:pPr>
      <w:r>
        <w:rPr>
          <w:rFonts w:hint="eastAsia" w:ascii="仿宋_GB2312" w:hAnsi="仿宋_GB2312" w:eastAsia="仿宋_GB2312" w:cs="仿宋_GB2312"/>
          <w:color w:val="auto"/>
          <w:kern w:val="0"/>
          <w:sz w:val="27"/>
          <w:szCs w:val="27"/>
          <w:lang w:val="en-US" w:eastAsia="zh-CN"/>
        </w:rPr>
        <w:t xml:space="preserve">    </w:t>
      </w:r>
      <w:r>
        <w:rPr>
          <w:rFonts w:hint="eastAsia" w:ascii="仿宋_GB2312" w:hAnsi="仿宋_GB2312" w:eastAsia="仿宋_GB2312" w:cs="仿宋_GB2312"/>
          <w:color w:val="auto"/>
          <w:kern w:val="0"/>
          <w:sz w:val="27"/>
          <w:szCs w:val="27"/>
        </w:rPr>
        <w:t>202</w:t>
      </w:r>
      <w:r>
        <w:rPr>
          <w:rFonts w:hint="eastAsia" w:ascii="仿宋_GB2312" w:hAnsi="仿宋_GB2312" w:eastAsia="仿宋_GB2312" w:cs="仿宋_GB2312"/>
          <w:color w:val="auto"/>
          <w:kern w:val="0"/>
          <w:sz w:val="27"/>
          <w:szCs w:val="27"/>
          <w:lang w:val="en-US" w:eastAsia="zh-CN"/>
        </w:rPr>
        <w:t>4</w:t>
      </w:r>
      <w:r>
        <w:rPr>
          <w:rFonts w:hint="eastAsia" w:ascii="仿宋_GB2312" w:hAnsi="仿宋_GB2312" w:eastAsia="仿宋_GB2312" w:cs="仿宋_GB2312"/>
          <w:color w:val="auto"/>
          <w:kern w:val="0"/>
          <w:sz w:val="27"/>
          <w:szCs w:val="27"/>
        </w:rPr>
        <w:t>年，</w:t>
      </w:r>
      <w:r>
        <w:rPr>
          <w:rFonts w:hint="eastAsia" w:ascii="仿宋_GB2312" w:hAnsi="仿宋_GB2312" w:eastAsia="仿宋_GB2312" w:cs="仿宋_GB2312"/>
          <w:color w:val="auto"/>
          <w:kern w:val="0"/>
          <w:sz w:val="27"/>
          <w:szCs w:val="27"/>
          <w:lang w:val="en-US" w:eastAsia="zh-CN"/>
        </w:rPr>
        <w:t>我中心</w:t>
      </w:r>
      <w:r>
        <w:rPr>
          <w:rFonts w:hint="eastAsia" w:ascii="仿宋_GB2312" w:hAnsi="仿宋_GB2312" w:eastAsia="仿宋_GB2312" w:cs="仿宋_GB2312"/>
          <w:color w:val="auto"/>
          <w:kern w:val="0"/>
          <w:sz w:val="27"/>
          <w:szCs w:val="27"/>
        </w:rPr>
        <w:t>圆满完成了各项工作任务，但与新形势、新任务、新要求相比，还存在一些差距和不足，在下一步的工作中，</w:t>
      </w:r>
      <w:r>
        <w:rPr>
          <w:rFonts w:hint="eastAsia" w:ascii="仿宋_GB2312" w:hAnsi="仿宋_GB2312" w:eastAsia="仿宋_GB2312" w:cs="仿宋_GB2312"/>
          <w:color w:val="auto"/>
          <w:kern w:val="0"/>
          <w:sz w:val="27"/>
          <w:szCs w:val="27"/>
          <w:lang w:val="en-US" w:eastAsia="zh-CN"/>
        </w:rPr>
        <w:t>我中心</w:t>
      </w:r>
      <w:r>
        <w:rPr>
          <w:rFonts w:hint="eastAsia" w:ascii="仿宋_GB2312" w:hAnsi="仿宋_GB2312" w:eastAsia="仿宋_GB2312" w:cs="仿宋_GB2312"/>
          <w:color w:val="auto"/>
          <w:kern w:val="0"/>
          <w:sz w:val="27"/>
          <w:szCs w:val="27"/>
        </w:rPr>
        <w:t>将</w:t>
      </w:r>
      <w:r>
        <w:rPr>
          <w:rFonts w:hint="eastAsia" w:ascii="仿宋_GB2312" w:hAnsi="仿宋_GB2312" w:eastAsia="仿宋_GB2312" w:cs="仿宋_GB2312"/>
          <w:color w:val="auto"/>
          <w:kern w:val="0"/>
          <w:sz w:val="27"/>
          <w:szCs w:val="27"/>
          <w:lang w:val="en-US" w:eastAsia="zh-CN"/>
        </w:rPr>
        <w:t>继续深化改革</w:t>
      </w:r>
      <w:r>
        <w:rPr>
          <w:rFonts w:hint="eastAsia" w:ascii="仿宋_GB2312" w:hAnsi="仿宋_GB2312" w:eastAsia="仿宋_GB2312" w:cs="仿宋_GB2312"/>
          <w:color w:val="auto"/>
          <w:kern w:val="0"/>
          <w:sz w:val="27"/>
          <w:szCs w:val="27"/>
          <w:lang w:eastAsia="zh-CN"/>
        </w:rPr>
        <w:t>，</w:t>
      </w:r>
      <w:r>
        <w:rPr>
          <w:rFonts w:hint="eastAsia" w:ascii="仿宋_GB2312" w:hAnsi="仿宋_GB2312" w:eastAsia="仿宋_GB2312" w:cs="仿宋_GB2312"/>
          <w:color w:val="auto"/>
          <w:kern w:val="0"/>
          <w:sz w:val="27"/>
          <w:szCs w:val="27"/>
          <w:lang w:val="en-US" w:eastAsia="zh-CN"/>
        </w:rPr>
        <w:t>创新传播方式，</w:t>
      </w:r>
      <w:r>
        <w:rPr>
          <w:rFonts w:hint="eastAsia" w:ascii="仿宋_GB2312" w:hAnsi="仿宋_GB2312" w:eastAsia="仿宋_GB2312" w:cs="仿宋_GB2312"/>
          <w:color w:val="auto"/>
          <w:kern w:val="0"/>
          <w:sz w:val="27"/>
          <w:szCs w:val="27"/>
        </w:rPr>
        <w:t>以</w:t>
      </w:r>
      <w:r>
        <w:rPr>
          <w:rFonts w:hint="eastAsia" w:ascii="仿宋_GB2312" w:hAnsi="仿宋_GB2312" w:eastAsia="仿宋_GB2312" w:cs="仿宋_GB2312"/>
          <w:color w:val="auto"/>
          <w:kern w:val="0"/>
          <w:sz w:val="27"/>
          <w:szCs w:val="27"/>
          <w:lang w:val="en-US" w:eastAsia="zh-CN"/>
        </w:rPr>
        <w:t>习近平新时代中国特色社会主义思想</w:t>
      </w:r>
      <w:r>
        <w:rPr>
          <w:rFonts w:hint="eastAsia" w:ascii="仿宋_GB2312" w:hAnsi="仿宋_GB2312" w:eastAsia="仿宋_GB2312" w:cs="仿宋_GB2312"/>
          <w:color w:val="auto"/>
          <w:kern w:val="0"/>
          <w:sz w:val="27"/>
          <w:szCs w:val="27"/>
        </w:rPr>
        <w:t>为指导，</w:t>
      </w:r>
      <w:r>
        <w:rPr>
          <w:rFonts w:hint="eastAsia" w:ascii="仿宋_GB2312" w:hAnsi="仿宋_GB2312" w:eastAsia="仿宋_GB2312" w:cs="仿宋_GB2312"/>
          <w:color w:val="auto"/>
          <w:kern w:val="0"/>
          <w:sz w:val="27"/>
          <w:szCs w:val="27"/>
          <w:lang w:val="en-US" w:eastAsia="zh-CN"/>
        </w:rPr>
        <w:t>自觉承担起举旗帜、聚民心、育新人、兴文化、展形象的使命任务，不断适应时代发展需求，提升主流媒体引领力和媒体服务能力，切实发挥县级媒体喉舌阵地作用，真正将融媒体中心打造成更有传播力、引导力、影响力和公信力的新型主流媒体，</w:t>
      </w:r>
      <w:r>
        <w:rPr>
          <w:rFonts w:hint="eastAsia" w:ascii="仿宋_GB2312" w:hAnsi="仿宋_GB2312" w:eastAsia="仿宋_GB2312" w:cs="仿宋_GB2312"/>
          <w:color w:val="auto"/>
          <w:kern w:val="0"/>
          <w:sz w:val="27"/>
          <w:szCs w:val="27"/>
        </w:rPr>
        <w:t>为促进</w:t>
      </w:r>
      <w:r>
        <w:rPr>
          <w:rFonts w:hint="eastAsia" w:ascii="仿宋_GB2312" w:hAnsi="仿宋_GB2312" w:eastAsia="仿宋_GB2312" w:cs="仿宋_GB2312"/>
          <w:color w:val="auto"/>
          <w:kern w:val="0"/>
          <w:sz w:val="27"/>
          <w:szCs w:val="27"/>
          <w:lang w:val="en-US" w:eastAsia="zh-CN"/>
        </w:rPr>
        <w:t>我区经济社会</w:t>
      </w:r>
      <w:r>
        <w:rPr>
          <w:rFonts w:hint="eastAsia" w:ascii="仿宋_GB2312" w:hAnsi="仿宋_GB2312" w:eastAsia="仿宋_GB2312" w:cs="仿宋_GB2312"/>
          <w:color w:val="auto"/>
          <w:kern w:val="0"/>
          <w:sz w:val="27"/>
          <w:szCs w:val="27"/>
        </w:rPr>
        <w:t>又好又快发展提供坚强的</w:t>
      </w:r>
      <w:r>
        <w:rPr>
          <w:rFonts w:hint="eastAsia" w:ascii="仿宋_GB2312" w:hAnsi="仿宋_GB2312" w:eastAsia="仿宋_GB2312" w:cs="仿宋_GB2312"/>
          <w:color w:val="auto"/>
          <w:kern w:val="0"/>
          <w:sz w:val="27"/>
          <w:szCs w:val="27"/>
          <w:lang w:val="en-US" w:eastAsia="zh-CN"/>
        </w:rPr>
        <w:t>宣传舆论保障</w:t>
      </w:r>
      <w:r>
        <w:rPr>
          <w:rFonts w:hint="eastAsia" w:ascii="仿宋_GB2312" w:hAnsi="仿宋_GB2312" w:eastAsia="仿宋_GB2312" w:cs="仿宋_GB2312"/>
          <w:color w:val="auto"/>
          <w:kern w:val="0"/>
          <w:sz w:val="27"/>
          <w:szCs w:val="27"/>
        </w:rPr>
        <w:t>。</w:t>
      </w:r>
    </w:p>
    <w:p>
      <w:pPr>
        <w:widowControl/>
        <w:spacing w:before="240" w:after="240"/>
        <w:jc w:val="left"/>
        <w:rPr>
          <w:rFonts w:ascii="Times New Roman" w:hAnsi="Times New Roman" w:eastAsia="Times New Roman" w:cs="Times New Roman"/>
          <w:kern w:val="0"/>
          <w:sz w:val="24"/>
        </w:rPr>
      </w:pP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 2024年度收入、支出决算总计均为</w:t>
      </w:r>
      <w:r>
        <w:rPr>
          <w:rFonts w:eastAsia="Times New Roman"/>
          <w:color w:val="000000"/>
          <w:kern w:val="0"/>
          <w:sz w:val="27"/>
          <w:szCs w:val="27"/>
          <w:u w:val="none" w:color="auto"/>
        </w:rPr>
        <w:t xml:space="preserve"> 833.72</w:t>
      </w:r>
      <w:r>
        <w:rPr>
          <w:rFonts w:ascii="仿宋_GB2312" w:hAnsi="仿宋_GB2312" w:eastAsia="仿宋_GB2312" w:cs="仿宋_GB2312"/>
          <w:color w:val="000000"/>
          <w:kern w:val="0"/>
          <w:sz w:val="27"/>
          <w:szCs w:val="27"/>
        </w:rPr>
        <w:t>万元。与年初预算相比，收、支总计各减少</w:t>
      </w:r>
      <w:r>
        <w:rPr>
          <w:rFonts w:eastAsia="Times New Roman"/>
          <w:color w:val="000000"/>
          <w:kern w:val="0"/>
          <w:sz w:val="27"/>
          <w:szCs w:val="27"/>
          <w:u w:val="none" w:color="auto"/>
        </w:rPr>
        <w:t>440.68</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none" w:color="auto"/>
        </w:rPr>
        <w:t>34.58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b w:val="0"/>
          <w:bCs w:val="0"/>
          <w:kern w:val="0"/>
          <w:sz w:val="27"/>
          <w:szCs w:val="27"/>
          <w:lang w:val="en-US" w:eastAsia="zh-CN"/>
        </w:rPr>
        <w:t>本年度财政资金紧张一是部分经费未拨付，二是所有项目资金未拨付，所以财政拨款收入支出执行数较小</w:t>
      </w:r>
      <w:r>
        <w:rPr>
          <w:rFonts w:ascii="仿宋_GB2312" w:hAnsi="仿宋_GB2312" w:eastAsia="仿宋_GB2312" w:cs="仿宋_GB2312"/>
          <w:color w:val="000000"/>
          <w:kern w:val="0"/>
          <w:sz w:val="27"/>
          <w:szCs w:val="27"/>
        </w:rPr>
        <w:t>；与上年决算相比，收、支总计各减少</w:t>
      </w:r>
      <w:r>
        <w:rPr>
          <w:rFonts w:eastAsia="Times New Roman"/>
          <w:color w:val="000000"/>
          <w:kern w:val="0"/>
          <w:sz w:val="27"/>
          <w:szCs w:val="27"/>
          <w:u w:val="none" w:color="auto"/>
        </w:rPr>
        <w:t>240.96</w:t>
      </w:r>
      <w:r>
        <w:rPr>
          <w:rFonts w:ascii="仿宋_GB2312" w:hAnsi="仿宋_GB2312" w:eastAsia="仿宋_GB2312" w:cs="仿宋_GB2312"/>
          <w:color w:val="000000"/>
          <w:kern w:val="0"/>
          <w:sz w:val="27"/>
          <w:szCs w:val="27"/>
        </w:rPr>
        <w:t>万元，下降</w:t>
      </w:r>
      <w:r>
        <w:rPr>
          <w:rFonts w:eastAsia="Times New Roman"/>
          <w:color w:val="000000"/>
          <w:kern w:val="0"/>
          <w:sz w:val="27"/>
          <w:szCs w:val="27"/>
          <w:u w:val="none" w:color="auto"/>
        </w:rPr>
        <w:t>22.42</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kai_ti_gb2312" w:hAnsi="kai_ti_gb2312" w:cs="kai_ti_gb2312"/>
          <w:b/>
          <w:bCs/>
          <w:color w:val="000000"/>
          <w:kern w:val="0"/>
          <w:sz w:val="27"/>
          <w:szCs w:val="27"/>
          <w:lang w:val="en-US" w:eastAsia="zh-CN"/>
        </w:rPr>
        <w:t xml:space="preserve">  </w:t>
      </w:r>
      <w:r>
        <w:rPr>
          <w:rFonts w:ascii="kai_ti_gb2312" w:hAnsi="kai_ti_gb2312" w:eastAsia="kai_ti_gb2312" w:cs="kai_ti_gb2312"/>
          <w:b/>
          <w:bCs/>
          <w:color w:val="000000"/>
          <w:kern w:val="0"/>
          <w:sz w:val="27"/>
          <w:szCs w:val="27"/>
        </w:rPr>
        <w:t>（一）收入决算总计</w:t>
      </w:r>
      <w:r>
        <w:rPr>
          <w:rFonts w:hint="eastAsia" w:ascii="宋体" w:hAnsi="宋体" w:eastAsia="宋体" w:cs="宋体"/>
          <w:b/>
          <w:bCs/>
          <w:color w:val="000000"/>
          <w:kern w:val="0"/>
          <w:sz w:val="27"/>
          <w:szCs w:val="27"/>
          <w:u w:val="none" w:color="auto"/>
          <w:lang w:val="en-US" w:eastAsia="zh-CN"/>
        </w:rPr>
        <w:t>833.72</w:t>
      </w:r>
      <w:r>
        <w:rPr>
          <w:rFonts w:ascii="kai_ti_gb2312" w:hAnsi="kai_ti_gb2312" w:eastAsia="kai_ti_gb2312" w:cs="kai_ti_gb2312"/>
          <w:b/>
          <w:bCs/>
          <w:color w:val="000000"/>
          <w:kern w:val="0"/>
          <w:sz w:val="27"/>
          <w:szCs w:val="27"/>
        </w:rPr>
        <w:t>万元。包括：</w:t>
      </w:r>
    </w:p>
    <w:p>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1.本年收入决算合计</w:t>
      </w:r>
      <w:r>
        <w:rPr>
          <w:rFonts w:hint="eastAsia" w:ascii="仿宋" w:hAnsi="仿宋" w:eastAsia="仿宋" w:cs="仿宋"/>
          <w:color w:val="000000"/>
          <w:kern w:val="0"/>
          <w:sz w:val="27"/>
          <w:szCs w:val="27"/>
          <w:u w:val="none" w:color="auto"/>
        </w:rPr>
        <w:t> 833.72</w:t>
      </w:r>
      <w:r>
        <w:rPr>
          <w:rFonts w:ascii="仿宋_GB2312" w:hAnsi="仿宋_GB2312" w:eastAsia="仿宋_GB2312" w:cs="仿宋_GB2312"/>
          <w:color w:val="000000"/>
          <w:kern w:val="0"/>
          <w:sz w:val="27"/>
          <w:szCs w:val="27"/>
        </w:rPr>
        <w:t>万元。与上年决算相比，减少</w:t>
      </w:r>
      <w:r>
        <w:rPr>
          <w:rFonts w:hint="eastAsia" w:ascii="仿宋" w:hAnsi="仿宋" w:eastAsia="仿宋" w:cs="仿宋"/>
          <w:color w:val="000000"/>
          <w:kern w:val="0"/>
          <w:sz w:val="27"/>
          <w:szCs w:val="27"/>
          <w:u w:val="none" w:color="auto"/>
        </w:rPr>
        <w:t>240.96</w:t>
      </w:r>
      <w:r>
        <w:rPr>
          <w:rFonts w:ascii="仿宋_GB2312" w:hAnsi="仿宋_GB2312" w:eastAsia="仿宋_GB2312" w:cs="仿宋_GB2312"/>
          <w:color w:val="000000"/>
          <w:kern w:val="0"/>
          <w:sz w:val="27"/>
          <w:szCs w:val="27"/>
        </w:rPr>
        <w:t>万元，增长下降</w:t>
      </w:r>
      <w:r>
        <w:rPr>
          <w:rFonts w:hint="eastAsia" w:ascii="仿宋" w:hAnsi="仿宋" w:eastAsia="仿宋" w:cs="仿宋"/>
          <w:color w:val="000000"/>
          <w:kern w:val="0"/>
          <w:sz w:val="27"/>
          <w:szCs w:val="27"/>
          <w:u w:val="none" w:color="auto"/>
        </w:rPr>
        <w:t>22.42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本年度财政资金紧张一是部分经费未拨付，二是所有项目资金未拨付，所以财政拨款收入支出执行数较小。</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hint="eastAsia" w:ascii="仿宋" w:hAnsi="仿宋" w:eastAsia="仿宋" w:cs="仿宋"/>
          <w:color w:val="000000"/>
          <w:kern w:val="0"/>
          <w:sz w:val="27"/>
          <w:szCs w:val="27"/>
          <w:u w:val="none" w:color="auto"/>
        </w:rPr>
        <w:t>0</w:t>
      </w:r>
      <w:r>
        <w:rPr>
          <w:rFonts w:ascii="仿宋_GB2312" w:hAnsi="仿宋_GB2312" w:eastAsia="仿宋_GB2312" w:cs="仿宋_GB2312"/>
          <w:color w:val="000000"/>
          <w:kern w:val="0"/>
          <w:sz w:val="27"/>
          <w:szCs w:val="27"/>
        </w:rPr>
        <w:t>万元。与上年决算相比，增加</w:t>
      </w:r>
      <w:r>
        <w:rPr>
          <w:rFonts w:hint="eastAsia" w:ascii="仿宋" w:hAnsi="仿宋" w:eastAsia="仿宋" w:cs="仿宋"/>
          <w:color w:val="000000"/>
          <w:kern w:val="0"/>
          <w:sz w:val="27"/>
          <w:szCs w:val="27"/>
          <w:u w:val="none" w:color="auto"/>
        </w:rPr>
        <w:t> 0</w:t>
      </w:r>
      <w:r>
        <w:rPr>
          <w:rFonts w:ascii="仿宋_GB2312" w:hAnsi="仿宋_GB2312" w:eastAsia="仿宋_GB2312" w:cs="仿宋_GB2312"/>
          <w:color w:val="000000"/>
          <w:kern w:val="0"/>
          <w:sz w:val="27"/>
          <w:szCs w:val="27"/>
        </w:rPr>
        <w:t>万元，增长</w:t>
      </w:r>
      <w:r>
        <w:rPr>
          <w:rFonts w:hint="eastAsia" w:ascii="仿宋" w:hAnsi="仿宋" w:eastAsia="仿宋" w:cs="仿宋"/>
          <w:color w:val="000000"/>
          <w:kern w:val="0"/>
          <w:sz w:val="27"/>
          <w:szCs w:val="27"/>
          <w:u w:val="none" w:color="auto"/>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hint="eastAsia" w:ascii="仿宋" w:hAnsi="仿宋" w:eastAsia="仿宋" w:cs="仿宋"/>
          <w:b/>
          <w:bCs/>
          <w:color w:val="000000"/>
          <w:kern w:val="0"/>
          <w:sz w:val="27"/>
          <w:szCs w:val="27"/>
          <w:u w:val="none" w:color="auto"/>
        </w:rPr>
        <w:t> 833.72</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1.本年支出决算合计</w:t>
      </w:r>
      <w:r>
        <w:rPr>
          <w:rFonts w:hint="eastAsia" w:ascii="仿宋" w:hAnsi="仿宋" w:eastAsia="仿宋" w:cs="仿宋"/>
          <w:color w:val="000000"/>
          <w:kern w:val="0"/>
          <w:sz w:val="27"/>
          <w:szCs w:val="27"/>
          <w:u w:val="none" w:color="auto"/>
        </w:rPr>
        <w:t>833.72</w:t>
      </w:r>
      <w:r>
        <w:rPr>
          <w:rFonts w:ascii="仿宋_GB2312" w:hAnsi="仿宋_GB2312" w:eastAsia="仿宋_GB2312" w:cs="仿宋_GB2312"/>
          <w:color w:val="000000"/>
          <w:kern w:val="0"/>
          <w:sz w:val="27"/>
          <w:szCs w:val="27"/>
        </w:rPr>
        <w:t>万元。与上年决算相比，减少</w:t>
      </w:r>
      <w:r>
        <w:rPr>
          <w:rFonts w:hint="eastAsia" w:ascii="仿宋" w:hAnsi="仿宋" w:eastAsia="仿宋" w:cs="仿宋"/>
          <w:color w:val="000000"/>
          <w:kern w:val="0"/>
          <w:sz w:val="27"/>
          <w:szCs w:val="27"/>
          <w:u w:val="none" w:color="auto"/>
        </w:rPr>
        <w:t> 240.96</w:t>
      </w:r>
      <w:r>
        <w:rPr>
          <w:rFonts w:ascii="仿宋_GB2312" w:hAnsi="仿宋_GB2312" w:eastAsia="仿宋_GB2312" w:cs="仿宋_GB2312"/>
          <w:color w:val="000000"/>
          <w:kern w:val="0"/>
          <w:sz w:val="27"/>
          <w:szCs w:val="27"/>
        </w:rPr>
        <w:t>万元，下降</w:t>
      </w:r>
      <w:r>
        <w:rPr>
          <w:rFonts w:hint="eastAsia" w:ascii="仿宋" w:hAnsi="仿宋" w:eastAsia="仿宋" w:cs="仿宋"/>
          <w:color w:val="000000"/>
          <w:kern w:val="0"/>
          <w:sz w:val="27"/>
          <w:szCs w:val="27"/>
          <w:u w:val="none" w:color="auto"/>
        </w:rPr>
        <w:t>22.42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本年度财政资金紧张一是部分经费未拨付，二是所有项目资金未拨付，所以财政拨款收入支出执行数较小。</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2.结余分配</w:t>
      </w:r>
      <w:r>
        <w:rPr>
          <w:rFonts w:hint="eastAsia" w:ascii="仿宋" w:hAnsi="仿宋" w:eastAsia="仿宋" w:cs="仿宋"/>
          <w:color w:val="000000"/>
          <w:kern w:val="0"/>
          <w:sz w:val="27"/>
          <w:szCs w:val="27"/>
          <w:u w:val="none" w:color="auto"/>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。与上年决算相比，增加</w:t>
      </w:r>
      <w:r>
        <w:rPr>
          <w:rFonts w:hint="eastAsia" w:ascii="仿宋" w:hAnsi="仿宋" w:eastAsia="仿宋" w:cs="仿宋"/>
          <w:color w:val="000000"/>
          <w:kern w:val="0"/>
          <w:sz w:val="27"/>
          <w:szCs w:val="27"/>
          <w:u w:val="none" w:color="auto"/>
        </w:rPr>
        <w:t>0</w:t>
      </w:r>
      <w:r>
        <w:rPr>
          <w:rFonts w:ascii="仿宋_GB2312" w:hAnsi="仿宋_GB2312" w:eastAsia="仿宋_GB2312" w:cs="仿宋_GB2312"/>
          <w:color w:val="000000"/>
          <w:kern w:val="0"/>
          <w:sz w:val="27"/>
          <w:szCs w:val="27"/>
        </w:rPr>
        <w:t>万元，增长</w:t>
      </w:r>
      <w:r>
        <w:rPr>
          <w:rFonts w:hint="eastAsia" w:ascii="仿宋" w:hAnsi="仿宋" w:eastAsia="仿宋" w:cs="仿宋"/>
          <w:color w:val="000000"/>
          <w:kern w:val="0"/>
          <w:sz w:val="27"/>
          <w:szCs w:val="27"/>
          <w:u w:val="none" w:color="auto"/>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3.年末结转和结余</w:t>
      </w:r>
      <w:r>
        <w:rPr>
          <w:rFonts w:hint="eastAsia" w:ascii="仿宋" w:hAnsi="仿宋" w:eastAsia="仿宋" w:cs="仿宋"/>
          <w:color w:val="000000"/>
          <w:kern w:val="0"/>
          <w:sz w:val="27"/>
          <w:szCs w:val="27"/>
          <w:u w:val="none" w:color="auto"/>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。与上年决算相比，增加</w:t>
      </w:r>
      <w:r>
        <w:rPr>
          <w:rFonts w:hint="eastAsia" w:ascii="仿宋" w:hAnsi="仿宋" w:eastAsia="仿宋" w:cs="仿宋"/>
          <w:color w:val="000000"/>
          <w:kern w:val="0"/>
          <w:sz w:val="27"/>
          <w:szCs w:val="27"/>
          <w:u w:val="none" w:color="auto"/>
        </w:rPr>
        <w:t> 0</w:t>
      </w:r>
      <w:r>
        <w:rPr>
          <w:rFonts w:ascii="仿宋_GB2312" w:hAnsi="仿宋_GB2312" w:eastAsia="仿宋_GB2312" w:cs="仿宋_GB2312"/>
          <w:color w:val="000000"/>
          <w:kern w:val="0"/>
          <w:sz w:val="27"/>
          <w:szCs w:val="27"/>
        </w:rPr>
        <w:t>万元，增长</w:t>
      </w:r>
      <w:r>
        <w:rPr>
          <w:rFonts w:hint="default" w:ascii="Kalinga" w:hAnsi="Kalinga" w:eastAsia="times_new_roman" w:cs="Kalinga"/>
          <w:color w:val="000000"/>
          <w:kern w:val="0"/>
          <w:sz w:val="27"/>
          <w:szCs w:val="27"/>
          <w:u w:val="none" w:color="auto"/>
        </w:rPr>
        <w:t>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不存在此项内容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w:t>
      </w:r>
      <w:r>
        <w:rPr>
          <w:rFonts w:hint="eastAsia" w:ascii="仿宋" w:hAnsi="仿宋" w:eastAsia="仿宋" w:cs="仿宋"/>
          <w:color w:val="000000"/>
          <w:kern w:val="0"/>
          <w:sz w:val="27"/>
          <w:szCs w:val="27"/>
        </w:rPr>
        <w:t> 2024</w:t>
      </w:r>
      <w:r>
        <w:rPr>
          <w:rFonts w:ascii="仿宋_GB2312" w:hAnsi="仿宋_GB2312" w:eastAsia="仿宋_GB2312" w:cs="仿宋_GB2312"/>
          <w:color w:val="000000"/>
          <w:kern w:val="0"/>
          <w:sz w:val="27"/>
          <w:szCs w:val="27"/>
        </w:rPr>
        <w:t>年度本年收入决算合计</w:t>
      </w:r>
      <w:r>
        <w:rPr>
          <w:rFonts w:hint="eastAsia" w:ascii="仿宋" w:hAnsi="仿宋" w:eastAsia="仿宋" w:cs="仿宋"/>
          <w:color w:val="000000"/>
          <w:kern w:val="0"/>
          <w:sz w:val="27"/>
          <w:szCs w:val="27"/>
          <w:u w:val="none" w:color="auto"/>
        </w:rPr>
        <w:t> 833.72</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本年一般公共预算财政拨款收入</w:t>
      </w:r>
      <w:r>
        <w:rPr>
          <w:rFonts w:hint="eastAsia" w:ascii="仿宋" w:hAnsi="仿宋" w:eastAsia="仿宋" w:cs="仿宋"/>
          <w:color w:val="000000"/>
          <w:kern w:val="0"/>
          <w:sz w:val="27"/>
          <w:szCs w:val="27"/>
          <w:u w:val="none" w:color="auto"/>
        </w:rPr>
        <w:t> 833.72</w:t>
      </w:r>
      <w:r>
        <w:rPr>
          <w:rFonts w:ascii="仿宋_GB2312" w:hAnsi="仿宋_GB2312" w:eastAsia="仿宋_GB2312" w:cs="仿宋_GB2312"/>
          <w:color w:val="000000"/>
          <w:kern w:val="0"/>
          <w:sz w:val="27"/>
          <w:szCs w:val="27"/>
        </w:rPr>
        <w:t>万元，占</w:t>
      </w:r>
      <w:r>
        <w:rPr>
          <w:rFonts w:hint="eastAsia" w:ascii="仿宋" w:hAnsi="仿宋" w:eastAsia="仿宋" w:cs="仿宋"/>
          <w:color w:val="000000"/>
          <w:kern w:val="0"/>
          <w:sz w:val="27"/>
          <w:szCs w:val="27"/>
          <w:u w:val="none" w:color="auto"/>
        </w:rPr>
        <w:t> 100.00%；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本年政府性基金预算财政拨款收入</w:t>
      </w:r>
      <w:r>
        <w:rPr>
          <w:rFonts w:hint="eastAsia" w:ascii="仿宋" w:hAnsi="仿宋" w:eastAsia="仿宋" w:cs="仿宋"/>
          <w:color w:val="000000"/>
          <w:kern w:val="0"/>
          <w:sz w:val="27"/>
          <w:szCs w:val="27"/>
          <w:u w:val="none" w:color="auto"/>
        </w:rPr>
        <w:t> 0</w:t>
      </w:r>
      <w:r>
        <w:rPr>
          <w:rFonts w:ascii="仿宋_GB2312" w:hAnsi="仿宋_GB2312" w:eastAsia="仿宋_GB2312" w:cs="仿宋_GB2312"/>
          <w:color w:val="000000"/>
          <w:kern w:val="0"/>
          <w:sz w:val="27"/>
          <w:szCs w:val="27"/>
        </w:rPr>
        <w:t>万元，占</w:t>
      </w:r>
      <w:r>
        <w:rPr>
          <w:rFonts w:hint="eastAsia" w:ascii="仿宋" w:hAnsi="仿宋" w:eastAsia="仿宋" w:cs="仿宋"/>
          <w:color w:val="000000"/>
          <w:kern w:val="0"/>
          <w:sz w:val="27"/>
          <w:szCs w:val="27"/>
          <w:u w:val="none" w:color="auto"/>
        </w:rPr>
        <w:t> 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本年国有资本经营预算财政拨款收入</w:t>
      </w:r>
      <w:r>
        <w:rPr>
          <w:rFonts w:hint="eastAsia" w:ascii="仿宋" w:hAnsi="仿宋" w:eastAsia="仿宋" w:cs="仿宋"/>
          <w:color w:val="000000"/>
          <w:kern w:val="0"/>
          <w:sz w:val="27"/>
          <w:szCs w:val="27"/>
          <w:u w:val="none" w:color="auto"/>
        </w:rPr>
        <w:t> 0</w:t>
      </w:r>
      <w:r>
        <w:rPr>
          <w:rFonts w:ascii="仿宋_GB2312" w:hAnsi="仿宋_GB2312" w:eastAsia="仿宋_GB2312" w:cs="仿宋_GB2312"/>
          <w:color w:val="000000"/>
          <w:kern w:val="0"/>
          <w:sz w:val="27"/>
          <w:szCs w:val="27"/>
        </w:rPr>
        <w:t>万元，占</w:t>
      </w:r>
      <w:r>
        <w:rPr>
          <w:rFonts w:hint="eastAsia" w:ascii="仿宋" w:hAnsi="仿宋" w:eastAsia="仿宋" w:cs="仿宋"/>
          <w:color w:val="000000"/>
          <w:kern w:val="0"/>
          <w:sz w:val="27"/>
          <w:szCs w:val="27"/>
          <w:u w:val="none" w:color="auto"/>
        </w:rPr>
        <w:t> 0%；</w:t>
      </w:r>
    </w:p>
    <w:p>
      <w:pPr>
        <w:widowControl/>
        <w:spacing w:before="240" w:after="240"/>
        <w:rPr>
          <w:rFonts w:hint="eastAsia" w:ascii="仿宋" w:hAnsi="仿宋" w:eastAsia="仿宋" w:cs="仿宋"/>
          <w:kern w:val="0"/>
          <w:sz w:val="24"/>
          <w:u w:val="none" w:color="auto"/>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hint="eastAsia" w:ascii="仿宋" w:hAnsi="仿宋" w:eastAsia="仿宋" w:cs="仿宋"/>
          <w:color w:val="000000"/>
          <w:kern w:val="0"/>
          <w:sz w:val="27"/>
          <w:szCs w:val="27"/>
          <w:u w:val="none" w:color="auto"/>
        </w:rPr>
        <w:t>本年上级补助收入 0万元，占 0%；</w:t>
      </w:r>
    </w:p>
    <w:p>
      <w:pPr>
        <w:widowControl/>
        <w:spacing w:before="240" w:after="240"/>
        <w:rPr>
          <w:rFonts w:hint="eastAsia" w:ascii="仿宋" w:hAnsi="仿宋" w:eastAsia="仿宋" w:cs="仿宋"/>
          <w:kern w:val="0"/>
          <w:sz w:val="24"/>
          <w:u w:val="none" w:color="auto"/>
        </w:rPr>
      </w:pPr>
      <w:r>
        <w:rPr>
          <w:rFonts w:hint="eastAsia" w:ascii="仿宋" w:hAnsi="仿宋" w:eastAsia="仿宋" w:cs="仿宋"/>
          <w:color w:val="000000"/>
          <w:kern w:val="0"/>
          <w:sz w:val="27"/>
          <w:szCs w:val="27"/>
          <w:u w:val="none" w:color="auto"/>
        </w:rPr>
        <w:t xml:space="preserve">    </w:t>
      </w:r>
      <w:r>
        <w:rPr>
          <w:rFonts w:hint="eastAsia" w:ascii="仿宋" w:hAnsi="仿宋" w:eastAsia="仿宋" w:cs="仿宋"/>
          <w:color w:val="000000"/>
          <w:kern w:val="0"/>
          <w:sz w:val="27"/>
          <w:szCs w:val="27"/>
          <w:u w:val="none" w:color="auto"/>
          <w:lang w:val="en-US" w:eastAsia="zh-CN"/>
        </w:rPr>
        <w:t xml:space="preserve">  </w:t>
      </w:r>
      <w:r>
        <w:rPr>
          <w:rFonts w:hint="eastAsia" w:ascii="仿宋" w:hAnsi="仿宋" w:eastAsia="仿宋" w:cs="仿宋"/>
          <w:color w:val="000000"/>
          <w:kern w:val="0"/>
          <w:sz w:val="27"/>
          <w:szCs w:val="27"/>
          <w:u w:val="none" w:color="auto"/>
        </w:rPr>
        <w:t>本年事业收入 0万元，占 0%；</w:t>
      </w:r>
    </w:p>
    <w:p>
      <w:pPr>
        <w:widowControl/>
        <w:spacing w:before="240" w:after="240"/>
        <w:rPr>
          <w:rFonts w:hint="eastAsia" w:ascii="仿宋" w:hAnsi="仿宋" w:eastAsia="仿宋" w:cs="仿宋"/>
          <w:kern w:val="0"/>
          <w:sz w:val="24"/>
          <w:u w:val="none" w:color="auto"/>
        </w:rPr>
      </w:pPr>
      <w:r>
        <w:rPr>
          <w:rFonts w:hint="eastAsia" w:ascii="仿宋" w:hAnsi="仿宋" w:eastAsia="仿宋" w:cs="仿宋"/>
          <w:color w:val="000000"/>
          <w:kern w:val="0"/>
          <w:sz w:val="27"/>
          <w:szCs w:val="27"/>
          <w:u w:val="none" w:color="auto"/>
        </w:rPr>
        <w:t xml:space="preserve">    </w:t>
      </w:r>
      <w:r>
        <w:rPr>
          <w:rFonts w:hint="eastAsia" w:ascii="仿宋" w:hAnsi="仿宋" w:eastAsia="仿宋" w:cs="仿宋"/>
          <w:color w:val="000000"/>
          <w:kern w:val="0"/>
          <w:sz w:val="27"/>
          <w:szCs w:val="27"/>
          <w:u w:val="none" w:color="auto"/>
          <w:lang w:val="en-US" w:eastAsia="zh-CN"/>
        </w:rPr>
        <w:t xml:space="preserve">  </w:t>
      </w:r>
      <w:r>
        <w:rPr>
          <w:rFonts w:hint="eastAsia" w:ascii="仿宋" w:hAnsi="仿宋" w:eastAsia="仿宋" w:cs="仿宋"/>
          <w:color w:val="000000"/>
          <w:kern w:val="0"/>
          <w:sz w:val="27"/>
          <w:szCs w:val="27"/>
          <w:u w:val="none" w:color="auto"/>
        </w:rPr>
        <w:t>本年经营收入 0万元，占 0%；</w:t>
      </w:r>
    </w:p>
    <w:p>
      <w:pPr>
        <w:widowControl/>
        <w:spacing w:before="240" w:after="240"/>
        <w:rPr>
          <w:rFonts w:hint="eastAsia" w:ascii="仿宋" w:hAnsi="仿宋" w:eastAsia="仿宋" w:cs="仿宋"/>
          <w:kern w:val="0"/>
          <w:sz w:val="24"/>
          <w:u w:val="none" w:color="auto"/>
        </w:rPr>
      </w:pPr>
      <w:r>
        <w:rPr>
          <w:rFonts w:hint="eastAsia" w:ascii="仿宋" w:hAnsi="仿宋" w:eastAsia="仿宋" w:cs="仿宋"/>
          <w:color w:val="000000"/>
          <w:kern w:val="0"/>
          <w:sz w:val="27"/>
          <w:szCs w:val="27"/>
          <w:u w:val="none" w:color="auto"/>
        </w:rPr>
        <w:t xml:space="preserve">    </w:t>
      </w:r>
      <w:r>
        <w:rPr>
          <w:rFonts w:hint="eastAsia" w:ascii="仿宋" w:hAnsi="仿宋" w:eastAsia="仿宋" w:cs="仿宋"/>
          <w:color w:val="000000"/>
          <w:kern w:val="0"/>
          <w:sz w:val="27"/>
          <w:szCs w:val="27"/>
          <w:u w:val="none" w:color="auto"/>
          <w:lang w:val="en-US" w:eastAsia="zh-CN"/>
        </w:rPr>
        <w:t xml:space="preserve">  </w:t>
      </w:r>
      <w:r>
        <w:rPr>
          <w:rFonts w:hint="eastAsia" w:ascii="仿宋" w:hAnsi="仿宋" w:eastAsia="仿宋" w:cs="仿宋"/>
          <w:color w:val="000000"/>
          <w:kern w:val="0"/>
          <w:sz w:val="27"/>
          <w:szCs w:val="27"/>
          <w:u w:val="none" w:color="auto"/>
        </w:rPr>
        <w:t>本年附属单位上缴收入 0万元，占 0%；</w:t>
      </w:r>
    </w:p>
    <w:p>
      <w:pPr>
        <w:widowControl/>
        <w:spacing w:before="240" w:after="240"/>
        <w:rPr>
          <w:rFonts w:ascii="Times New Roman" w:hAnsi="Times New Roman" w:eastAsia="Times New Roman" w:cs="Times New Roman"/>
          <w:kern w:val="0"/>
          <w:sz w:val="24"/>
        </w:rPr>
      </w:pPr>
      <w:r>
        <w:rPr>
          <w:rFonts w:hint="eastAsia" w:ascii="仿宋" w:hAnsi="仿宋" w:eastAsia="仿宋" w:cs="仿宋"/>
          <w:color w:val="000000"/>
          <w:kern w:val="0"/>
          <w:sz w:val="27"/>
          <w:szCs w:val="27"/>
          <w:u w:val="none" w:color="auto"/>
        </w:rPr>
        <w:t xml:space="preserve">    </w:t>
      </w:r>
      <w:r>
        <w:rPr>
          <w:rFonts w:hint="eastAsia" w:ascii="仿宋" w:hAnsi="仿宋" w:eastAsia="仿宋" w:cs="仿宋"/>
          <w:color w:val="000000"/>
          <w:kern w:val="0"/>
          <w:sz w:val="27"/>
          <w:szCs w:val="27"/>
          <w:u w:val="none" w:color="auto"/>
          <w:lang w:val="en-US" w:eastAsia="zh-CN"/>
        </w:rPr>
        <w:t xml:space="preserve">  </w:t>
      </w:r>
      <w:r>
        <w:rPr>
          <w:rFonts w:hint="eastAsia" w:ascii="仿宋" w:hAnsi="仿宋" w:eastAsia="仿宋" w:cs="仿宋"/>
          <w:color w:val="000000"/>
          <w:kern w:val="0"/>
          <w:sz w:val="27"/>
          <w:szCs w:val="27"/>
          <w:u w:val="none" w:color="auto"/>
        </w:rPr>
        <w:t>本年其他收入 0万元，占 0%。</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szCs w:val="24"/>
          <w:u w:val="none"/>
          <w:lang w:val="en-US" w:eastAsia="zh-CN" w:bidi="ar-SA"/>
        </w:rPr>
        <w:pict>
          <v:shape id="_x0000_i1025" o:spid="_x0000_s1026" type="#_x0000_t75" style="height:168.25pt;width:269.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三、支出决算情况说明</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 2024年度本年支出决算合计 833.72万元，其中：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本年基本支出 724.67万元，占 86.92%；</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本年项目支出 109.06万元，占 13.08%；</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本年上缴上级支出 0万元，占 0%；</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本年经营支出 0万元，占 0%；</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本年对附属单位补助支出 0万元，占 0%。</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szCs w:val="24"/>
          <w:u w:val="none"/>
          <w:lang w:val="en-US" w:eastAsia="zh-CN" w:bidi="ar-SA"/>
        </w:rPr>
        <w:pict>
          <v:shape id="_x0000_i1026" o:spid="_x0000_s1027" type="#_x0000_t75" style="height:159.85pt;width:255.7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四、财政拨款收入支出决算总体情况说明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赤峰市松山区融媒体中心 2024年度财政拨款收入、支出决算总计均为 833.72万元，与年初预算相比，收、支总计各减少440.68万元，下降34.58%，变动原因：</w:t>
      </w:r>
      <w:r>
        <w:rPr>
          <w:rFonts w:hint="eastAsia" w:ascii="仿宋_GB2312" w:hAnsi="仿宋_GB2312" w:eastAsia="仿宋_GB2312" w:cs="仿宋_GB2312"/>
          <w:color w:val="000000"/>
          <w:kern w:val="0"/>
          <w:sz w:val="27"/>
          <w:szCs w:val="27"/>
        </w:rPr>
        <w:t>文化旅游体育与传媒支出</w:t>
      </w:r>
      <w:r>
        <w:rPr>
          <w:rFonts w:hint="eastAsia" w:ascii="仿宋_GB2312" w:hAnsi="仿宋_GB2312" w:eastAsia="仿宋_GB2312" w:cs="仿宋_GB2312"/>
          <w:color w:val="000000"/>
          <w:kern w:val="0"/>
          <w:sz w:val="27"/>
          <w:szCs w:val="27"/>
          <w:lang w:eastAsia="zh-CN"/>
        </w:rPr>
        <w:t>减少</w:t>
      </w:r>
      <w:r>
        <w:rPr>
          <w:rFonts w:hint="eastAsia" w:ascii="仿宋_GB2312" w:hAnsi="仿宋_GB2312" w:eastAsia="仿宋_GB2312" w:cs="仿宋_GB2312"/>
          <w:color w:val="000000"/>
          <w:kern w:val="0"/>
          <w:sz w:val="27"/>
          <w:szCs w:val="27"/>
          <w:u w:val="none"/>
          <w:lang w:val="en-US" w:eastAsia="zh-CN"/>
        </w:rPr>
        <w:t>411.90万元，社会保障和就业支出减少9.08万元，卫生健康支出减少7.74万元，住房保障支出减少11.96万元</w:t>
      </w:r>
      <w:r>
        <w:rPr>
          <w:rFonts w:ascii="仿宋_GB2312" w:hAnsi="仿宋_GB2312" w:eastAsia="仿宋_GB2312" w:cs="仿宋_GB2312"/>
          <w:color w:val="000000"/>
          <w:kern w:val="0"/>
          <w:sz w:val="27"/>
          <w:szCs w:val="27"/>
        </w:rPr>
        <w:t>；与上年决算相比，收、支总计各减少240.96万元，下降22.42%，变动原因：</w:t>
      </w:r>
      <w:r>
        <w:rPr>
          <w:rFonts w:hint="eastAsia" w:ascii="仿宋_GB2312" w:hAnsi="仿宋_GB2312" w:eastAsia="仿宋_GB2312" w:cs="仿宋_GB2312"/>
          <w:color w:val="000000"/>
          <w:kern w:val="0"/>
          <w:sz w:val="27"/>
          <w:szCs w:val="27"/>
        </w:rPr>
        <w:t>文化旅游体育与传媒支出</w:t>
      </w:r>
      <w:r>
        <w:rPr>
          <w:rFonts w:hint="eastAsia" w:ascii="仿宋_GB2312" w:hAnsi="仿宋_GB2312" w:eastAsia="仿宋_GB2312" w:cs="仿宋_GB2312"/>
          <w:color w:val="000000"/>
          <w:kern w:val="0"/>
          <w:sz w:val="27"/>
          <w:szCs w:val="27"/>
          <w:lang w:eastAsia="zh-CN"/>
        </w:rPr>
        <w:t>减少</w:t>
      </w:r>
      <w:r>
        <w:rPr>
          <w:rFonts w:hint="eastAsia" w:ascii="仿宋_GB2312" w:hAnsi="仿宋_GB2312" w:eastAsia="仿宋_GB2312" w:cs="仿宋_GB2312"/>
          <w:color w:val="000000"/>
          <w:kern w:val="0"/>
          <w:sz w:val="27"/>
          <w:szCs w:val="27"/>
          <w:u w:val="none"/>
          <w:lang w:val="en-US" w:eastAsia="zh-CN"/>
        </w:rPr>
        <w:t>265.11万元，社会保障和就业支出增加28.01万元，卫生健康支出减少3.09万元，住房保障支出0.77万元</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年度一般公共预算财政拨款支出决算</w:t>
      </w:r>
      <w:r>
        <w:rPr>
          <w:rFonts w:hint="eastAsia" w:ascii="仿宋_GB2312" w:hAnsi="仿宋_GB2312" w:eastAsia="仿宋_GB2312" w:cs="仿宋_GB2312"/>
          <w:color w:val="000000"/>
          <w:kern w:val="0"/>
          <w:sz w:val="27"/>
          <w:szCs w:val="27"/>
          <w:lang w:val="en-US" w:eastAsia="zh-CN"/>
        </w:rPr>
        <w:t>833.72</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none" w:color="auto"/>
        </w:rPr>
        <w:t xml:space="preserve"> 1274.40</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none" w:color="auto"/>
        </w:rPr>
        <w:t xml:space="preserve"> 65.42</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w:t>
      </w:r>
      <w:r>
        <w:rPr>
          <w:rFonts w:hint="eastAsia" w:ascii="kai_ti_gb2312" w:hAnsi="kai_ti_gb2312" w:cs="kai_ti_gb2312"/>
          <w:b/>
          <w:bCs/>
          <w:color w:val="000000"/>
          <w:kern w:val="0"/>
          <w:sz w:val="27"/>
          <w:szCs w:val="27"/>
          <w:lang w:eastAsia="zh-CN"/>
        </w:rPr>
        <w:t>文化旅游体育与传媒支出（类）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w:t>
      </w:r>
      <w:r>
        <w:rPr>
          <w:rFonts w:hint="eastAsia" w:ascii="仿宋_GB2312" w:hAnsi="仿宋_GB2312" w:eastAsia="仿宋_GB2312" w:cs="仿宋_GB2312"/>
          <w:color w:val="000000"/>
          <w:kern w:val="0"/>
          <w:sz w:val="27"/>
          <w:szCs w:val="27"/>
          <w:lang w:eastAsia="zh-CN"/>
        </w:rPr>
        <w:t>文化旅游体育与传媒支出类</w:t>
      </w:r>
      <w:r>
        <w:rPr>
          <w:rFonts w:ascii="仿宋_GB2312" w:hAnsi="仿宋_GB2312" w:eastAsia="仿宋_GB2312" w:cs="仿宋_GB2312"/>
          <w:color w:val="000000"/>
          <w:kern w:val="0"/>
          <w:sz w:val="27"/>
          <w:szCs w:val="27"/>
        </w:rPr>
        <w:t>决算数为</w:t>
      </w:r>
      <w:r>
        <w:rPr>
          <w:rFonts w:hint="eastAsia" w:ascii="仿宋_GB2312" w:hAnsi="仿宋_GB2312" w:eastAsia="仿宋_GB2312" w:cs="仿宋_GB2312"/>
          <w:color w:val="000000"/>
          <w:kern w:val="0"/>
          <w:sz w:val="27"/>
          <w:szCs w:val="27"/>
          <w:lang w:val="en-US" w:eastAsia="zh-CN"/>
        </w:rPr>
        <w:t>833.72</w:t>
      </w:r>
      <w:r>
        <w:rPr>
          <w:rFonts w:ascii="仿宋_GB2312" w:hAnsi="仿宋_GB2312" w:eastAsia="仿宋_GB2312" w:cs="仿宋_GB2312"/>
          <w:color w:val="000000"/>
          <w:kern w:val="0"/>
          <w:sz w:val="27"/>
          <w:szCs w:val="27"/>
        </w:rPr>
        <w:t>万元，与年初预算相比减少</w:t>
      </w:r>
      <w:r>
        <w:rPr>
          <w:rFonts w:hint="eastAsia" w:ascii="仿宋_GB2312" w:hAnsi="仿宋_GB2312" w:eastAsia="仿宋_GB2312" w:cs="仿宋_GB2312"/>
          <w:color w:val="000000"/>
          <w:kern w:val="0"/>
          <w:sz w:val="27"/>
          <w:szCs w:val="27"/>
          <w:lang w:val="en-US" w:eastAsia="zh-CN"/>
        </w:rPr>
        <w:t>440.68</w:t>
      </w:r>
      <w:r>
        <w:rPr>
          <w:rFonts w:ascii="仿宋_GB2312" w:hAnsi="仿宋_GB2312" w:eastAsia="仿宋_GB2312" w:cs="仿宋_GB2312"/>
          <w:color w:val="000000"/>
          <w:kern w:val="0"/>
          <w:sz w:val="27"/>
          <w:szCs w:val="27"/>
        </w:rPr>
        <w:t>万元。其中：</w:t>
      </w:r>
    </w:p>
    <w:p>
      <w:pPr>
        <w:widowControl/>
        <w:spacing w:before="240" w:after="240"/>
        <w:ind w:firstLine="4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w:t>
      </w:r>
      <w:r>
        <w:rPr>
          <w:rFonts w:hint="eastAsia" w:ascii="仿宋_GB2312" w:hAnsi="仿宋_GB2312" w:eastAsia="仿宋_GB2312" w:cs="仿宋_GB2312"/>
          <w:color w:val="000000"/>
          <w:kern w:val="0"/>
          <w:sz w:val="27"/>
          <w:szCs w:val="27"/>
          <w:lang w:eastAsia="zh-CN"/>
        </w:rPr>
        <w:t>新闻出版电影（款）电影（项）。年初预算</w:t>
      </w:r>
      <w:r>
        <w:rPr>
          <w:rFonts w:hint="eastAsia" w:ascii="仿宋_GB2312" w:hAnsi="仿宋_GB2312" w:eastAsia="仿宋_GB2312" w:cs="仿宋_GB2312"/>
          <w:color w:val="000000"/>
          <w:kern w:val="0"/>
          <w:sz w:val="27"/>
          <w:szCs w:val="27"/>
          <w:lang w:val="en-US" w:eastAsia="zh-CN"/>
        </w:rPr>
        <w:t>0万元，支出决算58.56万元，超出年初预算的100%。差异数与年初预算数的差异原因：预算时把此项业务放到其他文化旅游体育与传媒支出项，故出现差异。</w:t>
      </w:r>
    </w:p>
    <w:p>
      <w:pPr>
        <w:widowControl/>
        <w:spacing w:before="240" w:after="240"/>
        <w:ind w:firstLine="4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2.广播电视（款）机关服务（项）。年初预算525.99万元，支出决算数448.87万元，完成年初预算数的85.34%。决算数与年初预算数差异原因：一是本年度本单位退休人员较多；二是由于财政资金紧张，部分经费未拨付；三是部分机关服务费用调整为其他项支出；所以预算数大于决算数。</w:t>
      </w:r>
    </w:p>
    <w:p>
      <w:pPr>
        <w:widowControl/>
        <w:spacing w:before="240" w:after="240"/>
        <w:ind w:firstLine="4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3.广播电视（款）广播电视事务（项）。年初预算299.08万元，支出决算数141.45万元，完成年初预算47.30%。决算与年初数差异原因：由于财政资金紧张，主要拨付了人员经费，大部分办公经费及项目经费未拨付。</w:t>
      </w:r>
    </w:p>
    <w:p>
      <w:pPr>
        <w:widowControl/>
        <w:spacing w:before="240" w:after="240"/>
        <w:ind w:firstLine="4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4.广播电视（款）其他广播电视支出（项）。年初预算186.80万元，支出决算数9.63万元，完成年初预算5.16%。决算数与年初数差异原因：由于财政资金紧张，项目经费部分拨付，大部分专项经费未拨付。</w:t>
      </w:r>
    </w:p>
    <w:p>
      <w:pPr>
        <w:widowControl/>
        <w:spacing w:before="240" w:after="240"/>
        <w:ind w:firstLine="42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xml:space="preserve"> 5.广播电视（款）其他文化旅游体育与传媒支出（项）。年初预算58.56万元，支出决算数0万元，完成年初预算0%。决算数与年初数差异原因：支出功能科目列错。</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w:t>
      </w:r>
      <w:r>
        <w:rPr>
          <w:rFonts w:hint="eastAsia" w:ascii="kai_ti_gb2312" w:hAnsi="kai_ti_gb2312" w:cs="kai_ti_gb2312"/>
          <w:b/>
          <w:bCs/>
          <w:color w:val="000000"/>
          <w:kern w:val="0"/>
          <w:sz w:val="27"/>
          <w:szCs w:val="27"/>
          <w:lang w:eastAsia="zh-CN"/>
        </w:rPr>
        <w:t>社会保障和就业支出</w:t>
      </w:r>
      <w:r>
        <w:rPr>
          <w:rFonts w:ascii="kai_ti_gb2312" w:hAnsi="kai_ti_gb2312" w:eastAsia="kai_ti_gb2312" w:cs="kai_ti_gb2312"/>
          <w:b/>
          <w:bCs/>
          <w:color w:val="000000"/>
          <w:kern w:val="0"/>
          <w:sz w:val="27"/>
          <w:szCs w:val="27"/>
        </w:rPr>
        <w:t>（类）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社会保障和就业支出</w:t>
      </w:r>
      <w:r>
        <w:rPr>
          <w:rFonts w:ascii="仿宋_GB2312" w:hAnsi="仿宋_GB2312" w:eastAsia="仿宋_GB2312" w:cs="仿宋_GB2312"/>
          <w:color w:val="000000"/>
          <w:kern w:val="0"/>
          <w:sz w:val="27"/>
          <w:szCs w:val="27"/>
        </w:rPr>
        <w:t>决算数为</w:t>
      </w:r>
      <w:r>
        <w:rPr>
          <w:rFonts w:hint="eastAsia" w:ascii="仿宋_GB2312" w:hAnsi="仿宋_GB2312" w:eastAsia="仿宋_GB2312" w:cs="仿宋_GB2312"/>
          <w:color w:val="000000"/>
          <w:kern w:val="0"/>
          <w:sz w:val="27"/>
          <w:szCs w:val="27"/>
          <w:lang w:val="en-US" w:eastAsia="zh-CN"/>
        </w:rPr>
        <w:t>101.74</w:t>
      </w:r>
      <w:r>
        <w:rPr>
          <w:rFonts w:ascii="仿宋_GB2312" w:hAnsi="仿宋_GB2312" w:eastAsia="仿宋_GB2312" w:cs="仿宋_GB2312"/>
          <w:color w:val="000000"/>
          <w:kern w:val="0"/>
          <w:sz w:val="27"/>
          <w:szCs w:val="27"/>
        </w:rPr>
        <w:t>万元，与年初预算相比减少</w:t>
      </w:r>
      <w:r>
        <w:rPr>
          <w:rFonts w:hint="eastAsia" w:ascii="仿宋_GB2312" w:hAnsi="仿宋_GB2312" w:eastAsia="仿宋_GB2312" w:cs="仿宋_GB2312"/>
          <w:color w:val="000000"/>
          <w:kern w:val="0"/>
          <w:sz w:val="27"/>
          <w:szCs w:val="27"/>
          <w:lang w:val="en-US" w:eastAsia="zh-CN"/>
        </w:rPr>
        <w:t>9.08</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 xml:space="preserve">  1.</w:t>
      </w:r>
      <w:r>
        <w:rPr>
          <w:rFonts w:hint="eastAsia" w:ascii="仿宋_GB2312" w:hAnsi="仿宋_GB2312" w:eastAsia="仿宋_GB2312" w:cs="仿宋_GB2312"/>
          <w:color w:val="000000"/>
          <w:kern w:val="0"/>
          <w:sz w:val="27"/>
          <w:szCs w:val="27"/>
          <w:lang w:eastAsia="zh-CN"/>
        </w:rPr>
        <w:t>行政事业单位养老支出</w:t>
      </w:r>
      <w:r>
        <w:rPr>
          <w:rFonts w:ascii="仿宋_GB2312" w:hAnsi="仿宋_GB2312" w:eastAsia="仿宋_GB2312" w:cs="仿宋_GB2312"/>
          <w:color w:val="000000"/>
          <w:kern w:val="0"/>
          <w:sz w:val="27"/>
          <w:szCs w:val="27"/>
        </w:rPr>
        <w:t>（款）</w:t>
      </w:r>
      <w:r>
        <w:rPr>
          <w:rFonts w:hint="eastAsia" w:ascii="仿宋_GB2312" w:hAnsi="仿宋_GB2312" w:eastAsia="仿宋_GB2312" w:cs="仿宋_GB2312"/>
          <w:color w:val="000000"/>
          <w:kern w:val="0"/>
          <w:sz w:val="27"/>
          <w:szCs w:val="27"/>
          <w:lang w:eastAsia="zh-CN"/>
        </w:rPr>
        <w:t>机关事业单位基本养老保险缴费支出</w:t>
      </w:r>
      <w:r>
        <w:rPr>
          <w:rFonts w:ascii="仿宋_GB2312" w:hAnsi="仿宋_GB2312" w:eastAsia="仿宋_GB2312" w:cs="仿宋_GB2312"/>
          <w:color w:val="000000"/>
          <w:kern w:val="0"/>
          <w:sz w:val="27"/>
          <w:szCs w:val="27"/>
        </w:rPr>
        <w:t>（项）。年初预算</w:t>
      </w:r>
      <w:r>
        <w:rPr>
          <w:rFonts w:hint="eastAsia" w:ascii="仿宋_GB2312" w:hAnsi="仿宋_GB2312" w:eastAsia="仿宋_GB2312" w:cs="仿宋_GB2312"/>
          <w:color w:val="000000"/>
          <w:kern w:val="0"/>
          <w:sz w:val="27"/>
          <w:szCs w:val="27"/>
          <w:lang w:val="en-US" w:eastAsia="zh-CN"/>
        </w:rPr>
        <w:t>71.59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56.41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78.80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eastAsia="zh-CN"/>
        </w:rPr>
        <w:t>本年度单位退休人员较多，机关事业单位基本养老保险缴费基数减小</w:t>
      </w:r>
      <w:r>
        <w:rPr>
          <w:rFonts w:ascii="仿宋_GB2312" w:hAnsi="仿宋_GB2312" w:eastAsia="仿宋_GB2312" w:cs="仿宋_GB2312"/>
          <w:color w:val="000000"/>
          <w:kern w:val="0"/>
          <w:sz w:val="27"/>
          <w:szCs w:val="27"/>
        </w:rPr>
        <w:t>。</w:t>
      </w:r>
    </w:p>
    <w:p>
      <w:pPr>
        <w:widowControl/>
        <w:spacing w:before="240" w:after="240"/>
        <w:rPr>
          <w:rFonts w:hint="eastAsia" w:ascii="仿宋_GB2312" w:hAnsi="仿宋_GB2312" w:eastAsia="仿宋_GB2312" w:cs="仿宋_GB2312"/>
          <w:color w:val="000000"/>
          <w:kern w:val="0"/>
          <w:sz w:val="27"/>
          <w:szCs w:val="27"/>
          <w:lang w:eastAsia="zh-CN"/>
        </w:rPr>
      </w:pPr>
      <w:r>
        <w:rPr>
          <w:rFonts w:hint="eastAsia" w:ascii="仿宋_GB2312" w:hAnsi="仿宋_GB2312" w:eastAsia="仿宋_GB2312" w:cs="仿宋_GB2312"/>
          <w:color w:val="000000"/>
          <w:kern w:val="0"/>
          <w:sz w:val="27"/>
          <w:szCs w:val="27"/>
          <w:lang w:val="en-US" w:eastAsia="zh-CN"/>
        </w:rPr>
        <w:t xml:space="preserve">     2.</w:t>
      </w:r>
      <w:r>
        <w:rPr>
          <w:rFonts w:hint="eastAsia" w:ascii="仿宋_GB2312" w:hAnsi="仿宋_GB2312" w:eastAsia="仿宋_GB2312" w:cs="仿宋_GB2312"/>
          <w:color w:val="000000"/>
          <w:kern w:val="0"/>
          <w:sz w:val="27"/>
          <w:szCs w:val="27"/>
          <w:lang w:eastAsia="zh-CN"/>
        </w:rPr>
        <w:t>行政事业单位养老支出</w:t>
      </w:r>
      <w:r>
        <w:rPr>
          <w:rFonts w:ascii="仿宋_GB2312" w:hAnsi="仿宋_GB2312" w:eastAsia="仿宋_GB2312" w:cs="仿宋_GB2312"/>
          <w:color w:val="000000"/>
          <w:kern w:val="0"/>
          <w:sz w:val="27"/>
          <w:szCs w:val="27"/>
        </w:rPr>
        <w:t>（款）</w:t>
      </w:r>
      <w:r>
        <w:rPr>
          <w:rFonts w:hint="eastAsia" w:ascii="仿宋_GB2312" w:hAnsi="仿宋_GB2312" w:eastAsia="仿宋_GB2312" w:cs="仿宋_GB2312"/>
          <w:color w:val="000000"/>
          <w:kern w:val="0"/>
          <w:sz w:val="27"/>
          <w:szCs w:val="27"/>
          <w:lang w:eastAsia="zh-CN"/>
        </w:rPr>
        <w:t>机关事业单位职业年金缴费支出</w:t>
      </w:r>
      <w:r>
        <w:rPr>
          <w:rFonts w:ascii="仿宋_GB2312" w:hAnsi="仿宋_GB2312" w:eastAsia="仿宋_GB2312" w:cs="仿宋_GB2312"/>
          <w:color w:val="000000"/>
          <w:kern w:val="0"/>
          <w:sz w:val="27"/>
          <w:szCs w:val="27"/>
        </w:rPr>
        <w:t>（项）。年初预算</w:t>
      </w:r>
      <w:r>
        <w:rPr>
          <w:rFonts w:hint="eastAsia" w:ascii="仿宋_GB2312" w:hAnsi="仿宋_GB2312" w:eastAsia="仿宋_GB2312" w:cs="仿宋_GB2312"/>
          <w:color w:val="000000"/>
          <w:kern w:val="0"/>
          <w:sz w:val="27"/>
          <w:szCs w:val="27"/>
          <w:lang w:val="en-US" w:eastAsia="zh-CN"/>
        </w:rPr>
        <w:t>35.80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42.74</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119.39</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eastAsia="zh-CN"/>
        </w:rPr>
        <w:t>本年度单位退休人员较多，机关事业单位职业年金缴费基数增大。</w:t>
      </w:r>
    </w:p>
    <w:p>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val="en-US" w:eastAsia="zh-CN"/>
        </w:rPr>
        <w:t xml:space="preserve">     3.其他社会保障和就业支出（款）其他社会保障和就业支出（项）。年初预算数3.43万元，支出决算2.59万元，完成年初预算的75.51%。决算数与年初预算数的差异原因：</w:t>
      </w:r>
      <w:r>
        <w:rPr>
          <w:rFonts w:hint="eastAsia" w:ascii="仿宋_GB2312" w:hAnsi="仿宋_GB2312" w:eastAsia="仿宋_GB2312" w:cs="仿宋_GB2312"/>
          <w:color w:val="000000"/>
          <w:kern w:val="0"/>
          <w:sz w:val="27"/>
          <w:szCs w:val="27"/>
          <w:lang w:eastAsia="zh-CN"/>
        </w:rPr>
        <w:t>本年度单位退休人员较多，其他社会保障和就业支出缴费基数减小。</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三</w:t>
      </w:r>
      <w:r>
        <w:rPr>
          <w:rFonts w:ascii="kai_ti_gb2312" w:hAnsi="kai_ti_gb2312" w:eastAsia="kai_ti_gb2312" w:cs="kai_ti_gb2312"/>
          <w:b/>
          <w:bCs/>
          <w:color w:val="000000"/>
          <w:kern w:val="0"/>
          <w:sz w:val="27"/>
          <w:szCs w:val="27"/>
        </w:rPr>
        <w:t>）卫生健康支出（类）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hint="eastAsia" w:ascii="仿宋_GB2312" w:hAnsi="仿宋_GB2312" w:eastAsia="仿宋_GB2312" w:cs="仿宋_GB2312"/>
          <w:color w:val="000000"/>
          <w:kern w:val="0"/>
          <w:sz w:val="27"/>
          <w:szCs w:val="27"/>
          <w:lang w:val="en-US" w:eastAsia="zh-CN"/>
        </w:rPr>
        <w:t>26.55</w:t>
      </w:r>
      <w:r>
        <w:rPr>
          <w:rFonts w:ascii="仿宋_GB2312" w:hAnsi="仿宋_GB2312" w:eastAsia="仿宋_GB2312" w:cs="仿宋_GB2312"/>
          <w:color w:val="000000"/>
          <w:kern w:val="0"/>
          <w:sz w:val="27"/>
          <w:szCs w:val="27"/>
        </w:rPr>
        <w:t>万元，与年初预算相比减少</w:t>
      </w:r>
      <w:r>
        <w:rPr>
          <w:rFonts w:hint="eastAsia" w:ascii="仿宋_GB2312" w:hAnsi="仿宋_GB2312" w:eastAsia="仿宋_GB2312" w:cs="仿宋_GB2312"/>
          <w:color w:val="000000"/>
          <w:kern w:val="0"/>
          <w:sz w:val="27"/>
          <w:szCs w:val="27"/>
          <w:lang w:val="en-US" w:eastAsia="zh-CN"/>
        </w:rPr>
        <w:t>7.74</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1.</w:t>
      </w:r>
      <w:r>
        <w:rPr>
          <w:rFonts w:ascii="仿宋_GB2312" w:hAnsi="仿宋_GB2312" w:eastAsia="仿宋_GB2312" w:cs="仿宋_GB2312"/>
          <w:color w:val="000000"/>
          <w:kern w:val="0"/>
          <w:sz w:val="27"/>
          <w:szCs w:val="27"/>
        </w:rPr>
        <w:t>行政事业单位医疗（款）事业单位医疗（项）。年初预算</w:t>
      </w:r>
      <w:r>
        <w:rPr>
          <w:rFonts w:hint="eastAsia" w:ascii="仿宋_GB2312" w:hAnsi="仿宋_GB2312" w:eastAsia="仿宋_GB2312" w:cs="仿宋_GB2312"/>
          <w:color w:val="000000"/>
          <w:kern w:val="0"/>
          <w:sz w:val="27"/>
          <w:szCs w:val="27"/>
          <w:lang w:val="en-US" w:eastAsia="zh-CN"/>
        </w:rPr>
        <w:t>34.29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26.55</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77.43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eastAsia="zh-CN"/>
        </w:rPr>
        <w:t>本年度单位退休人员较多，行政事业单位医疗缴费基数减小</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四</w:t>
      </w:r>
      <w:r>
        <w:rPr>
          <w:rFonts w:ascii="kai_ti_gb2312" w:hAnsi="kai_ti_gb2312" w:eastAsia="kai_ti_gb2312" w:cs="kai_ti_gb2312"/>
          <w:b/>
          <w:bCs/>
          <w:color w:val="000000"/>
          <w:kern w:val="0"/>
          <w:sz w:val="27"/>
          <w:szCs w:val="27"/>
        </w:rPr>
        <w:t>）住房保障支出（类）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hint="eastAsia" w:ascii="仿宋_GB2312" w:hAnsi="仿宋_GB2312" w:eastAsia="仿宋_GB2312" w:cs="仿宋_GB2312"/>
          <w:color w:val="000000"/>
          <w:kern w:val="0"/>
          <w:sz w:val="27"/>
          <w:szCs w:val="27"/>
          <w:lang w:val="en-US" w:eastAsia="zh-CN"/>
        </w:rPr>
        <w:t>46.91</w:t>
      </w:r>
      <w:r>
        <w:rPr>
          <w:rFonts w:ascii="仿宋_GB2312" w:hAnsi="仿宋_GB2312" w:eastAsia="仿宋_GB2312" w:cs="仿宋_GB2312"/>
          <w:color w:val="000000"/>
          <w:kern w:val="0"/>
          <w:sz w:val="27"/>
          <w:szCs w:val="27"/>
        </w:rPr>
        <w:t>万元，与年初预算相比减少</w:t>
      </w:r>
      <w:r>
        <w:rPr>
          <w:rFonts w:hint="eastAsia" w:ascii="仿宋_GB2312" w:hAnsi="仿宋_GB2312" w:eastAsia="仿宋_GB2312" w:cs="仿宋_GB2312"/>
          <w:color w:val="000000"/>
          <w:kern w:val="0"/>
          <w:sz w:val="27"/>
          <w:szCs w:val="27"/>
          <w:lang w:val="en-US" w:eastAsia="zh-CN"/>
        </w:rPr>
        <w:t>11.96</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1.</w:t>
      </w:r>
      <w:r>
        <w:rPr>
          <w:rFonts w:ascii="仿宋_GB2312" w:hAnsi="仿宋_GB2312" w:eastAsia="仿宋_GB2312" w:cs="仿宋_GB2312"/>
          <w:color w:val="000000"/>
          <w:kern w:val="0"/>
          <w:sz w:val="27"/>
          <w:szCs w:val="27"/>
        </w:rPr>
        <w:t>住房改革支出（款）住房公积金（项）。年初预算</w:t>
      </w:r>
      <w:r>
        <w:rPr>
          <w:rFonts w:hint="eastAsia" w:ascii="仿宋_GB2312" w:hAnsi="仿宋_GB2312" w:eastAsia="仿宋_GB2312" w:cs="仿宋_GB2312"/>
          <w:color w:val="000000"/>
          <w:kern w:val="0"/>
          <w:sz w:val="27"/>
          <w:szCs w:val="27"/>
          <w:lang w:val="en-US" w:eastAsia="zh-CN"/>
        </w:rPr>
        <w:t>58.87</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49.91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84.78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eastAsia="zh-CN"/>
        </w:rPr>
        <w:t>本年度单位退休人员较多，住房改革支出缴费基数减小。</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赤峰市松山区融媒体中心 2024年度一般公共预算财政拨款基本支出决算</w:t>
      </w:r>
      <w:r>
        <w:rPr>
          <w:rFonts w:hint="eastAsia" w:ascii="仿宋_GB2312" w:hAnsi="仿宋_GB2312" w:eastAsia="仿宋_GB2312" w:cs="仿宋_GB2312"/>
          <w:color w:val="000000"/>
          <w:kern w:val="0"/>
          <w:sz w:val="27"/>
          <w:szCs w:val="27"/>
          <w:lang w:val="en-US" w:eastAsia="zh-CN"/>
        </w:rPr>
        <w:t>724.67</w:t>
      </w:r>
      <w:r>
        <w:rPr>
          <w:rFonts w:ascii="仿宋_GB2312" w:hAnsi="仿宋_GB2312" w:eastAsia="仿宋_GB2312" w:cs="仿宋_GB2312"/>
          <w:color w:val="000000"/>
          <w:kern w:val="0"/>
          <w:sz w:val="27"/>
          <w:szCs w:val="27"/>
        </w:rPr>
        <w:t>万元，其中：</w:t>
      </w:r>
    </w:p>
    <w:p>
      <w:pPr>
        <w:widowControl/>
        <w:spacing w:before="240" w:after="240"/>
        <w:ind w:firstLine="421"/>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（一）人员经费</w:t>
      </w:r>
      <w:r>
        <w:rPr>
          <w:rFonts w:hint="eastAsia" w:ascii="仿宋_GB2312" w:hAnsi="仿宋_GB2312" w:eastAsia="仿宋_GB2312" w:cs="仿宋_GB2312"/>
          <w:b/>
          <w:bCs/>
          <w:color w:val="000000"/>
          <w:kern w:val="0"/>
          <w:sz w:val="27"/>
          <w:szCs w:val="27"/>
          <w:lang w:val="en-US" w:eastAsia="zh-CN"/>
        </w:rPr>
        <w:t>692.35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196.28万元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49.97万元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6.79万元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158.30万元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56.41万元</w:t>
      </w:r>
      <w:r>
        <w:rPr>
          <w:rFonts w:ascii="仿宋_GB2312" w:hAnsi="仿宋_GB2312" w:eastAsia="仿宋_GB2312" w:cs="仿宋_GB2312"/>
          <w:color w:val="000000"/>
          <w:kern w:val="0"/>
          <w:sz w:val="27"/>
          <w:szCs w:val="27"/>
        </w:rPr>
        <w:t>、职业年金缴费</w:t>
      </w:r>
      <w:r>
        <w:rPr>
          <w:rFonts w:hint="eastAsia" w:ascii="仿宋_GB2312" w:hAnsi="仿宋_GB2312" w:eastAsia="仿宋_GB2312" w:cs="仿宋_GB2312"/>
          <w:color w:val="000000"/>
          <w:kern w:val="0"/>
          <w:sz w:val="27"/>
          <w:szCs w:val="27"/>
          <w:lang w:val="en-US" w:eastAsia="zh-CN"/>
        </w:rPr>
        <w:t>42.74万元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26.55万元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eastAsia="zh-CN"/>
        </w:rPr>
        <w:t>其他社会保障缴费</w:t>
      </w:r>
      <w:r>
        <w:rPr>
          <w:rFonts w:hint="eastAsia" w:ascii="仿宋_GB2312" w:hAnsi="仿宋_GB2312" w:eastAsia="仿宋_GB2312" w:cs="仿宋_GB2312"/>
          <w:color w:val="000000"/>
          <w:kern w:val="0"/>
          <w:sz w:val="27"/>
          <w:szCs w:val="27"/>
          <w:lang w:val="en-US" w:eastAsia="zh-CN"/>
        </w:rPr>
        <w:t>2.59万元、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46.91万元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lang w:val="en-US" w:eastAsia="zh-CN"/>
        </w:rPr>
        <w:t>105.80万元。</w:t>
      </w:r>
    </w:p>
    <w:p>
      <w:pPr>
        <w:widowControl/>
        <w:spacing w:before="240" w:after="240"/>
        <w:ind w:firstLine="421"/>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（二）公用经费</w:t>
      </w:r>
      <w:r>
        <w:rPr>
          <w:rFonts w:hint="eastAsia" w:ascii="仿宋_GB2312" w:hAnsi="仿宋_GB2312" w:eastAsia="仿宋_GB2312" w:cs="仿宋_GB2312"/>
          <w:b/>
          <w:bCs/>
          <w:color w:val="000000"/>
          <w:kern w:val="0"/>
          <w:sz w:val="27"/>
          <w:szCs w:val="27"/>
          <w:lang w:val="en-US" w:eastAsia="zh-CN"/>
        </w:rPr>
        <w:t>32.32</w:t>
      </w:r>
      <w:r>
        <w:rPr>
          <w:rFonts w:ascii="仿宋_GB2312" w:hAnsi="仿宋_GB2312" w:eastAsia="仿宋_GB2312" w:cs="仿宋_GB2312"/>
          <w:b/>
          <w:bCs/>
          <w:color w:val="000000"/>
          <w:kern w:val="0"/>
          <w:sz w:val="27"/>
          <w:szCs w:val="27"/>
        </w:rPr>
        <w:t>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val="en-US" w:eastAsia="zh-CN"/>
        </w:rPr>
        <w:t>9.29万元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0.70万元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0.57万元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0.31万元</w:t>
      </w:r>
      <w:r>
        <w:rPr>
          <w:rFonts w:ascii="仿宋_GB2312" w:hAnsi="仿宋_GB2312" w:eastAsia="仿宋_GB2312" w:cs="仿宋_GB2312"/>
          <w:color w:val="000000"/>
          <w:kern w:val="0"/>
          <w:sz w:val="27"/>
          <w:szCs w:val="27"/>
        </w:rPr>
        <w:t>、差旅费</w:t>
      </w:r>
      <w:r>
        <w:rPr>
          <w:rFonts w:hint="eastAsia" w:ascii="仿宋_GB2312" w:hAnsi="仿宋_GB2312" w:eastAsia="仿宋_GB2312" w:cs="仿宋_GB2312"/>
          <w:color w:val="000000"/>
          <w:kern w:val="0"/>
          <w:sz w:val="27"/>
          <w:szCs w:val="27"/>
          <w:lang w:val="en-US" w:eastAsia="zh-CN"/>
        </w:rPr>
        <w:t>3.48万元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lang w:val="en-US" w:eastAsia="zh-CN"/>
        </w:rPr>
        <w:t>5.02万元</w:t>
      </w:r>
      <w:r>
        <w:rPr>
          <w:rFonts w:ascii="仿宋_GB2312" w:hAnsi="仿宋_GB2312" w:eastAsia="仿宋_GB2312" w:cs="仿宋_GB2312"/>
          <w:color w:val="000000"/>
          <w:kern w:val="0"/>
          <w:sz w:val="27"/>
          <w:szCs w:val="27"/>
        </w:rPr>
        <w:t>、委托业务费</w:t>
      </w:r>
      <w:r>
        <w:rPr>
          <w:rFonts w:hint="eastAsia" w:ascii="仿宋_GB2312" w:hAnsi="仿宋_GB2312" w:eastAsia="仿宋_GB2312" w:cs="仿宋_GB2312"/>
          <w:color w:val="000000"/>
          <w:kern w:val="0"/>
          <w:sz w:val="27"/>
          <w:szCs w:val="27"/>
          <w:lang w:val="en-US" w:eastAsia="zh-CN"/>
        </w:rPr>
        <w:t>3.00万元</w:t>
      </w:r>
      <w:r>
        <w:rPr>
          <w:rFonts w:ascii="仿宋_GB2312" w:hAnsi="仿宋_GB2312" w:eastAsia="仿宋_GB2312" w:cs="仿宋_GB2312"/>
          <w:color w:val="000000"/>
          <w:kern w:val="0"/>
          <w:sz w:val="27"/>
          <w:szCs w:val="27"/>
        </w:rPr>
        <w:t>、公务用车运行维护费</w:t>
      </w:r>
      <w:r>
        <w:rPr>
          <w:rFonts w:hint="eastAsia" w:ascii="仿宋_GB2312" w:hAnsi="仿宋_GB2312" w:eastAsia="仿宋_GB2312" w:cs="仿宋_GB2312"/>
          <w:color w:val="000000"/>
          <w:kern w:val="0"/>
          <w:sz w:val="27"/>
          <w:szCs w:val="27"/>
          <w:lang w:val="en-US" w:eastAsia="zh-CN"/>
        </w:rPr>
        <w:t>2.46万元</w:t>
      </w:r>
      <w:r>
        <w:rPr>
          <w:rFonts w:ascii="仿宋_GB2312" w:hAnsi="仿宋_GB2312" w:eastAsia="仿宋_GB2312" w:cs="仿宋_GB2312"/>
          <w:color w:val="000000"/>
          <w:kern w:val="0"/>
          <w:sz w:val="27"/>
          <w:szCs w:val="27"/>
        </w:rPr>
        <w:t>、其他商品和服务支出</w:t>
      </w:r>
      <w:r>
        <w:rPr>
          <w:rFonts w:hint="eastAsia" w:ascii="仿宋_GB2312" w:hAnsi="仿宋_GB2312" w:eastAsia="仿宋_GB2312" w:cs="仿宋_GB2312"/>
          <w:color w:val="000000"/>
          <w:kern w:val="0"/>
          <w:sz w:val="27"/>
          <w:szCs w:val="27"/>
          <w:lang w:val="en-US" w:eastAsia="zh-CN"/>
        </w:rPr>
        <w:t>0.55万元</w:t>
      </w:r>
      <w:r>
        <w:rPr>
          <w:rFonts w:ascii="仿宋_GB2312" w:hAnsi="仿宋_GB2312" w:eastAsia="仿宋_GB2312" w:cs="仿宋_GB2312"/>
          <w:color w:val="000000"/>
          <w:kern w:val="0"/>
          <w:sz w:val="27"/>
          <w:szCs w:val="27"/>
        </w:rPr>
        <w:t>、办公设备购置</w:t>
      </w:r>
      <w:r>
        <w:rPr>
          <w:rFonts w:hint="eastAsia" w:ascii="仿宋_GB2312" w:hAnsi="仿宋_GB2312" w:eastAsia="仿宋_GB2312" w:cs="仿宋_GB2312"/>
          <w:color w:val="000000"/>
          <w:kern w:val="0"/>
          <w:sz w:val="27"/>
          <w:szCs w:val="27"/>
          <w:lang w:val="en-US" w:eastAsia="zh-CN"/>
        </w:rPr>
        <w:t>6.67万元</w:t>
      </w:r>
      <w:r>
        <w:rPr>
          <w:rFonts w:ascii="仿宋_GB2312" w:hAnsi="仿宋_GB2312" w:eastAsia="仿宋_GB2312" w:cs="仿宋_GB2312"/>
          <w:color w:val="000000"/>
          <w:kern w:val="0"/>
          <w:sz w:val="27"/>
          <w:szCs w:val="27"/>
        </w:rPr>
        <w:t>、专用设备购置</w:t>
      </w:r>
      <w:r>
        <w:rPr>
          <w:rFonts w:hint="eastAsia" w:ascii="仿宋_GB2312" w:hAnsi="仿宋_GB2312" w:eastAsia="仿宋_GB2312" w:cs="仿宋_GB2312"/>
          <w:color w:val="000000"/>
          <w:kern w:val="0"/>
          <w:sz w:val="27"/>
          <w:szCs w:val="27"/>
          <w:lang w:val="en-US" w:eastAsia="zh-CN"/>
        </w:rPr>
        <w:t>0.27万元</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赤峰市松山区融媒体中心 </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w:t>
      </w:r>
      <w:r>
        <w:rPr>
          <w:rFonts w:eastAsia="Times New Roman"/>
          <w:color w:val="000000"/>
          <w:kern w:val="0"/>
          <w:sz w:val="27"/>
          <w:szCs w:val="27"/>
          <w:u w:val="none" w:color="auto"/>
        </w:rPr>
        <w:t>109.06</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none" w:color="auto"/>
        </w:rPr>
        <w:t xml:space="preserve"> </w:t>
      </w:r>
      <w:r>
        <w:rPr>
          <w:rFonts w:eastAsia="Times New Roman"/>
          <w:b/>
          <w:bCs/>
          <w:color w:val="000000"/>
          <w:kern w:val="0"/>
          <w:sz w:val="27"/>
          <w:szCs w:val="27"/>
          <w:u w:val="none" w:color="auto"/>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none" w:color="auto"/>
        </w:rPr>
        <w:t xml:space="preserve"> 104.49</w:t>
      </w:r>
      <w:r>
        <w:rPr>
          <w:rFonts w:ascii="仿宋_GB2312" w:hAnsi="仿宋_GB2312" w:eastAsia="仿宋_GB2312" w:cs="仿宋_GB2312"/>
          <w:color w:val="000000"/>
          <w:kern w:val="0"/>
          <w:sz w:val="27"/>
          <w:szCs w:val="27"/>
        </w:rPr>
        <w:t>万元。主要包括：办公费</w:t>
      </w:r>
      <w:r>
        <w:rPr>
          <w:rFonts w:hint="eastAsia" w:ascii="仿宋_GB2312" w:hAnsi="仿宋_GB2312" w:eastAsia="仿宋_GB2312" w:cs="仿宋_GB2312"/>
          <w:color w:val="000000"/>
          <w:kern w:val="0"/>
          <w:sz w:val="27"/>
          <w:szCs w:val="27"/>
          <w:lang w:val="en-US" w:eastAsia="zh-CN"/>
        </w:rPr>
        <w:t>5.42万元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0.21万元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lang w:val="en-US" w:eastAsia="zh-CN"/>
        </w:rPr>
        <w:t>0.18万元</w:t>
      </w:r>
      <w:r>
        <w:rPr>
          <w:rFonts w:ascii="仿宋_GB2312" w:hAnsi="仿宋_GB2312" w:eastAsia="仿宋_GB2312" w:cs="仿宋_GB2312"/>
          <w:color w:val="000000"/>
          <w:kern w:val="0"/>
          <w:sz w:val="27"/>
          <w:szCs w:val="27"/>
        </w:rPr>
        <w:t>、取暖费</w:t>
      </w:r>
      <w:r>
        <w:rPr>
          <w:rFonts w:hint="eastAsia" w:ascii="仿宋_GB2312" w:hAnsi="仿宋_GB2312" w:eastAsia="仿宋_GB2312" w:cs="仿宋_GB2312"/>
          <w:color w:val="000000"/>
          <w:kern w:val="0"/>
          <w:sz w:val="27"/>
          <w:szCs w:val="27"/>
          <w:lang w:val="en-US" w:eastAsia="zh-CN"/>
        </w:rPr>
        <w:t>0.36万元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3.50万元</w:t>
      </w:r>
      <w:r>
        <w:rPr>
          <w:rFonts w:ascii="仿宋_GB2312" w:hAnsi="仿宋_GB2312" w:eastAsia="仿宋_GB2312" w:cs="仿宋_GB2312"/>
          <w:color w:val="000000"/>
          <w:kern w:val="0"/>
          <w:sz w:val="27"/>
          <w:szCs w:val="27"/>
        </w:rPr>
        <w:t>、差旅费</w:t>
      </w:r>
      <w:r>
        <w:rPr>
          <w:rFonts w:hint="eastAsia" w:ascii="仿宋_GB2312" w:hAnsi="仿宋_GB2312" w:eastAsia="仿宋_GB2312" w:cs="仿宋_GB2312"/>
          <w:color w:val="000000"/>
          <w:kern w:val="0"/>
          <w:sz w:val="27"/>
          <w:szCs w:val="27"/>
          <w:lang w:val="en-US" w:eastAsia="zh-CN"/>
        </w:rPr>
        <w:t>2.74万元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lang w:val="en-US" w:eastAsia="zh-CN"/>
        </w:rPr>
        <w:t>0.07万元</w:t>
      </w:r>
      <w:r>
        <w:rPr>
          <w:rFonts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20.00万元</w:t>
      </w:r>
      <w:r>
        <w:rPr>
          <w:rFonts w:ascii="仿宋_GB2312" w:hAnsi="仿宋_GB2312" w:eastAsia="仿宋_GB2312" w:cs="仿宋_GB2312"/>
          <w:color w:val="000000"/>
          <w:kern w:val="0"/>
          <w:sz w:val="27"/>
          <w:szCs w:val="27"/>
        </w:rPr>
        <w:t>、委托业务费</w:t>
      </w:r>
      <w:r>
        <w:rPr>
          <w:rFonts w:hint="eastAsia" w:ascii="仿宋_GB2312" w:hAnsi="仿宋_GB2312" w:eastAsia="仿宋_GB2312" w:cs="仿宋_GB2312"/>
          <w:color w:val="000000"/>
          <w:kern w:val="0"/>
          <w:sz w:val="27"/>
          <w:szCs w:val="27"/>
          <w:lang w:val="en-US" w:eastAsia="zh-CN"/>
        </w:rPr>
        <w:t>60.16万元</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none" w:color="auto"/>
        </w:rPr>
        <w:t xml:space="preserve"> 4.56</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主要包括：办公设备购置</w:t>
      </w:r>
      <w:r>
        <w:rPr>
          <w:rFonts w:hint="eastAsia" w:ascii="仿宋_GB2312" w:hAnsi="仿宋_GB2312" w:eastAsia="仿宋_GB2312" w:cs="仿宋_GB2312"/>
          <w:color w:val="000000"/>
          <w:kern w:val="0"/>
          <w:sz w:val="27"/>
          <w:szCs w:val="27"/>
          <w:lang w:val="en-US" w:eastAsia="zh-CN"/>
        </w:rPr>
        <w:t>4.56万元</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u w:val="none" w:color="auto"/>
        </w:rPr>
        <w:t>赤峰市松山区融媒体中心 </w:t>
      </w:r>
      <w:r>
        <w:rPr>
          <w:rFonts w:hint="eastAsia" w:ascii="仿宋_GB2312" w:hAnsi="仿宋_GB2312" w:eastAsia="仿宋_GB2312" w:cs="仿宋_GB2312"/>
          <w:color w:val="000000"/>
          <w:kern w:val="0"/>
          <w:sz w:val="27"/>
          <w:szCs w:val="27"/>
          <w:u w:val="none" w:color="auto"/>
          <w:lang w:val="en-US" w:eastAsia="zh-CN"/>
        </w:rPr>
        <w:t>2024</w:t>
      </w:r>
      <w:r>
        <w:rPr>
          <w:rFonts w:ascii="仿宋_GB2312" w:hAnsi="仿宋_GB2312" w:eastAsia="仿宋_GB2312" w:cs="仿宋_GB2312"/>
          <w:color w:val="000000"/>
          <w:kern w:val="0"/>
          <w:sz w:val="27"/>
          <w:szCs w:val="27"/>
          <w:u w:val="none" w:color="auto"/>
        </w:rPr>
        <w:t>年度财政拨款“三公”经费全年预算</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 xml:space="preserve"> 100.00</w:t>
      </w:r>
      <w:r>
        <w:rPr>
          <w:rFonts w:ascii="仿宋_GB2312" w:hAnsi="仿宋_GB2312" w:eastAsia="仿宋_GB2312" w:cs="仿宋_GB2312"/>
          <w:color w:val="000000"/>
          <w:kern w:val="0"/>
          <w:sz w:val="27"/>
          <w:szCs w:val="27"/>
          <w:u w:val="none" w:color="auto"/>
        </w:rPr>
        <w:t>%。其中：因公出国（境）费全年预算</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%；公务用车购置及运行维护费全年预算</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 xml:space="preserve"> 100.00</w:t>
      </w:r>
      <w:r>
        <w:rPr>
          <w:rFonts w:ascii="仿宋_GB2312" w:hAnsi="仿宋_GB2312" w:eastAsia="仿宋_GB2312" w:cs="仿宋_GB2312"/>
          <w:color w:val="000000"/>
          <w:kern w:val="0"/>
          <w:sz w:val="27"/>
          <w:szCs w:val="27"/>
          <w:u w:val="none" w:color="auto"/>
        </w:rPr>
        <w:t>%；公务接待费全年预算</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万元，完成预算的</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%。2024年度一般公共预算财政拨款“三公”经费全年预算</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u w:val="none" w:color="auto"/>
        </w:rPr>
        <w:t>万元，支出决算</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u w:val="none" w:color="auto"/>
        </w:rPr>
        <w:t>万元，与预算差异原因</w:t>
      </w:r>
      <w:r>
        <w:rPr>
          <w:rFonts w:hint="eastAsia" w:ascii="仿宋_GB2312" w:hAnsi="仿宋_GB2312" w:eastAsia="仿宋_GB2312" w:cs="仿宋_GB2312"/>
          <w:color w:val="000000"/>
          <w:kern w:val="0"/>
          <w:sz w:val="27"/>
          <w:szCs w:val="27"/>
          <w:u w:val="none" w:color="auto"/>
          <w:lang w:eastAsia="zh-CN"/>
        </w:rPr>
        <w:t>：无差异</w:t>
      </w:r>
      <w:r>
        <w:rPr>
          <w:rFonts w:ascii="仿宋_GB2312" w:hAnsi="仿宋_GB2312" w:eastAsia="仿宋_GB2312" w:cs="仿宋_GB2312"/>
          <w:color w:val="000000"/>
          <w:kern w:val="0"/>
          <w:sz w:val="27"/>
          <w:szCs w:val="27"/>
          <w:u w:val="none" w:color="auto"/>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 </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年度财政拨款“三公”经费支出</w:t>
      </w:r>
      <w:r>
        <w:rPr>
          <w:rFonts w:hint="eastAsia" w:ascii="仿宋_GB2312" w:hAnsi="仿宋_GB2312" w:eastAsia="仿宋_GB2312" w:cs="仿宋_GB2312"/>
          <w:color w:val="000000"/>
          <w:kern w:val="0"/>
          <w:sz w:val="27"/>
          <w:szCs w:val="27"/>
          <w:lang w:val="en-US" w:eastAsia="zh-CN"/>
        </w:rPr>
        <w:t>5.48</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none" w:color="auto"/>
        </w:rPr>
        <w:t xml:space="preserve"> 100.00</w:t>
      </w:r>
      <w:r>
        <w:rPr>
          <w:rFonts w:ascii="仿宋_GB2312" w:hAnsi="仿宋_GB2312" w:eastAsia="仿宋_GB2312" w:cs="仿宋_GB2312"/>
          <w:color w:val="000000"/>
          <w:kern w:val="0"/>
          <w:sz w:val="27"/>
          <w:szCs w:val="27"/>
        </w:rPr>
        <w:t>%；</w:t>
      </w:r>
      <w:r>
        <w:rPr>
          <w:rFonts w:ascii="仿宋_GB2312" w:hAnsi="仿宋_GB2312" w:eastAsia="仿宋_GB2312" w:cs="仿宋_GB2312"/>
          <w:color w:val="000000"/>
          <w:kern w:val="0"/>
          <w:sz w:val="27"/>
          <w:szCs w:val="27"/>
          <w:u w:val="none" w:color="auto"/>
        </w:rPr>
        <w:t>公务接待费支出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%。其中</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1.</w:t>
      </w:r>
      <w:r>
        <w:rPr>
          <w:rFonts w:ascii="仿宋_GB2312" w:hAnsi="仿宋_GB2312" w:eastAsia="仿宋_GB2312" w:cs="仿宋_GB2312"/>
          <w:color w:val="000000"/>
          <w:kern w:val="0"/>
          <w:sz w:val="27"/>
          <w:szCs w:val="27"/>
          <w:u w:val="none" w:color="auto"/>
        </w:rPr>
        <w:t>因公出国（境）费支出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万元，全年出国（境）团组</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个，累计</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人次。与上年决算相比，增加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eastAsia="zh-CN"/>
        </w:rPr>
        <w:t>本单位无此项内容</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val="en-US" w:eastAsia="zh-CN"/>
        </w:rPr>
        <w:t xml:space="preserve">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none" w:color="auto"/>
        </w:rPr>
        <w:t>5.48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u w:val="none" w:color="auto"/>
        </w:rPr>
      </w:pPr>
      <w:r>
        <w:rPr>
          <w:rFonts w:ascii="仿宋_GB2312" w:hAnsi="仿宋_GB2312" w:eastAsia="仿宋_GB2312" w:cs="仿宋_GB2312"/>
          <w:color w:val="000000"/>
          <w:kern w:val="0"/>
          <w:sz w:val="27"/>
          <w:szCs w:val="27"/>
        </w:rPr>
        <w:t xml:space="preserve">    </w:t>
      </w:r>
      <w:r>
        <w:rPr>
          <w:rFonts w:ascii="仿宋_GB2312" w:hAnsi="仿宋_GB2312" w:eastAsia="仿宋_GB2312" w:cs="仿宋_GB2312"/>
          <w:color w:val="000000"/>
          <w:kern w:val="0"/>
          <w:sz w:val="27"/>
          <w:szCs w:val="27"/>
          <w:u w:val="none" w:color="auto"/>
        </w:rPr>
        <w:t>（1）公务用车购置支出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万元。本年度使用财政拨款购置公务用车</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u w:val="none" w:color="auto"/>
        </w:rPr>
        <w:t>辆，开支内容：</w:t>
      </w:r>
      <w:r>
        <w:rPr>
          <w:rFonts w:hint="eastAsia" w:ascii="仿宋_GB2312" w:hAnsi="仿宋_GB2312" w:eastAsia="仿宋_GB2312" w:cs="仿宋_GB2312"/>
          <w:color w:val="000000"/>
          <w:kern w:val="0"/>
          <w:sz w:val="27"/>
          <w:szCs w:val="27"/>
          <w:u w:val="none" w:color="auto"/>
          <w:lang w:eastAsia="zh-CN"/>
        </w:rPr>
        <w:t>本单位无此项内容</w:t>
      </w:r>
      <w:r>
        <w:rPr>
          <w:rFonts w:ascii="仿宋_GB2312" w:hAnsi="仿宋_GB2312" w:eastAsia="仿宋_GB2312" w:cs="仿宋_GB2312"/>
          <w:color w:val="000000"/>
          <w:kern w:val="0"/>
          <w:sz w:val="27"/>
          <w:szCs w:val="27"/>
          <w:u w:val="none" w:color="auto"/>
        </w:rPr>
        <w:t>。与上年决算相比，增加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万元，增长</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%，变动原因：</w:t>
      </w:r>
      <w:r>
        <w:rPr>
          <w:rFonts w:hint="eastAsia" w:ascii="仿宋_GB2312" w:hAnsi="仿宋_GB2312" w:eastAsia="仿宋_GB2312" w:cs="仿宋_GB2312"/>
          <w:color w:val="000000"/>
          <w:kern w:val="0"/>
          <w:sz w:val="27"/>
          <w:szCs w:val="27"/>
          <w:u w:val="none" w:color="auto"/>
          <w:lang w:eastAsia="zh-CN"/>
        </w:rPr>
        <w:t>本单位无此项内容</w:t>
      </w:r>
      <w:r>
        <w:rPr>
          <w:rFonts w:ascii="仿宋_GB2312" w:hAnsi="仿宋_GB2312" w:eastAsia="仿宋_GB2312" w:cs="仿宋_GB2312"/>
          <w:color w:val="000000"/>
          <w:kern w:val="0"/>
          <w:sz w:val="27"/>
          <w:szCs w:val="27"/>
          <w:u w:val="none" w:color="auto"/>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none" w:color="auto"/>
        </w:rPr>
        <w:t xml:space="preserve"> 5.48</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hint="eastAsia" w:ascii="仿宋_GB2312" w:hAnsi="仿宋_GB2312" w:eastAsia="仿宋_GB2312" w:cs="仿宋_GB2312"/>
          <w:color w:val="000000"/>
          <w:kern w:val="0"/>
          <w:sz w:val="27"/>
          <w:szCs w:val="27"/>
          <w:lang w:val="en-US" w:eastAsia="zh-CN"/>
        </w:rPr>
        <w:t>2024年12</w:t>
      </w:r>
      <w:r>
        <w:rPr>
          <w:rFonts w:ascii="仿宋_GB2312" w:hAnsi="仿宋_GB2312" w:eastAsia="仿宋_GB2312" w:cs="仿宋_GB2312"/>
          <w:color w:val="000000"/>
          <w:kern w:val="0"/>
          <w:sz w:val="27"/>
          <w:szCs w:val="27"/>
        </w:rPr>
        <w:t>月</w:t>
      </w:r>
      <w:r>
        <w:rPr>
          <w:rFonts w:hint="eastAsia" w:ascii="仿宋_GB2312" w:hAnsi="仿宋_GB2312" w:eastAsia="仿宋_GB2312" w:cs="仿宋_GB2312"/>
          <w:color w:val="000000"/>
          <w:kern w:val="0"/>
          <w:sz w:val="27"/>
          <w:szCs w:val="27"/>
          <w:lang w:val="en-US" w:eastAsia="zh-CN"/>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none" w:color="auto"/>
        </w:rPr>
        <w:t xml:space="preserve">2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none" w:color="auto"/>
        </w:rPr>
        <w:t xml:space="preserve"> 4.51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none" w:color="auto"/>
        </w:rPr>
        <w:t>464.63</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由于财政资金紧张上一年度部分公务用车运行维护费结转本年度支付</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eastAsia="zh-CN"/>
        </w:rPr>
        <w:t>本单位无此项内容</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none" w:color="auto"/>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eastAsia="zh-CN"/>
        </w:rPr>
        <w:t>本单位无此项内容</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万</w:t>
      </w:r>
      <w:r>
        <w:rPr>
          <w:rFonts w:ascii="仿宋_GB2312" w:hAnsi="仿宋_GB2312" w:eastAsia="仿宋_GB2312" w:cs="仿宋_GB2312"/>
          <w:color w:val="000000"/>
          <w:kern w:val="0"/>
          <w:sz w:val="27"/>
          <w:szCs w:val="27"/>
        </w:rPr>
        <w:t>元，增长</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本单位无此项内容</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九、政府性基金预算财政拨款支出决算情况说明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赤峰市松山区融媒体中心 </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年度政府性基金预算财政拨款支出决算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none" w:color="auto"/>
        </w:rPr>
        <w:t>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none" w:color="auto"/>
        </w:rPr>
        <w:t xml:space="preserve"> 0</w:t>
      </w:r>
      <w:r>
        <w:rPr>
          <w:rFonts w:ascii="仿宋_GB2312" w:hAnsi="仿宋_GB2312" w:eastAsia="仿宋_GB2312" w:cs="仿宋_GB2312"/>
          <w:color w:val="000000"/>
          <w:kern w:val="0"/>
          <w:sz w:val="27"/>
          <w:szCs w:val="27"/>
          <w:u w:val="none" w:color="auto"/>
        </w:rPr>
        <w:t>%</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本年无政府性基金预算财政拨款收、支、余</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27"/>
          <w:szCs w:val="27"/>
        </w:rPr>
        <w:t>十、国有资本经营预算财政拨款支出决算情况说明</w:t>
      </w:r>
    </w:p>
    <w:p>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赤峰市松山区融媒体中心 </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年度国有资本经营预算财政拨款支出决算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万元。与上年决算相比，增加</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%，变动原因：本年无国有资本经营预算财政拨款收、支、余。</w:t>
      </w:r>
      <w:r>
        <w:rPr>
          <w:rFonts w:ascii="仿宋_GB2312" w:hAnsi="仿宋_GB2312" w:eastAsia="仿宋_GB2312" w:cs="仿宋_GB2312"/>
          <w:kern w:val="0"/>
          <w:sz w:val="27"/>
          <w:szCs w:val="27"/>
        </w:rPr>
        <w:t>   </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赤峰市松山区融媒体中心 2024年度公用经费支出决算</w:t>
      </w:r>
      <w:r>
        <w:rPr>
          <w:rFonts w:eastAsia="Times New Roman"/>
          <w:color w:val="000000"/>
          <w:kern w:val="0"/>
          <w:sz w:val="27"/>
          <w:szCs w:val="27"/>
          <w:u w:val="none" w:color="auto"/>
        </w:rPr>
        <w:t xml:space="preserve"> 32.32</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none" w:color="auto"/>
        </w:rPr>
        <w:t>22.65</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none" w:color="auto"/>
        </w:rPr>
        <w:t>234.40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由于财政资金紧张上一年度大部分公用经费本年度支付</w:t>
      </w:r>
      <w:r>
        <w:rPr>
          <w:rFonts w:ascii="仿宋_GB2312" w:hAnsi="仿宋_GB2312" w:eastAsia="仿宋_GB2312" w:cs="仿宋_GB2312"/>
          <w:color w:val="000000"/>
          <w:kern w:val="0"/>
          <w:sz w:val="27"/>
          <w:szCs w:val="27"/>
        </w:rPr>
        <w:t>。其中，机关运行经费支出决算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万元。比上年决算相比，增加</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万元，增长</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%，变动原因：我单位类型为</w:t>
      </w:r>
      <w:r>
        <w:rPr>
          <w:rFonts w:hint="eastAsia" w:ascii="仿宋_GB2312" w:hAnsi="仿宋_GB2312" w:eastAsia="仿宋_GB2312" w:cs="仿宋_GB2312"/>
          <w:color w:val="000000"/>
          <w:kern w:val="0"/>
          <w:sz w:val="27"/>
          <w:szCs w:val="27"/>
          <w:lang w:eastAsia="zh-CN"/>
        </w:rPr>
        <w:t>公益一</w:t>
      </w:r>
      <w:r>
        <w:rPr>
          <w:rFonts w:ascii="仿宋_GB2312" w:hAnsi="仿宋_GB2312" w:eastAsia="仿宋_GB2312" w:cs="仿宋_GB2312"/>
          <w:color w:val="000000"/>
          <w:kern w:val="0"/>
          <w:sz w:val="27"/>
          <w:szCs w:val="27"/>
        </w:rPr>
        <w:t>类单位，无机关运行经费支出。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 </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年度政府采购支出总额</w:t>
      </w:r>
      <w:r>
        <w:rPr>
          <w:rFonts w:hint="eastAsia" w:ascii="仿宋_GB2312" w:hAnsi="仿宋_GB2312" w:eastAsia="仿宋_GB2312" w:cs="仿宋_GB2312"/>
          <w:color w:val="000000"/>
          <w:kern w:val="0"/>
          <w:sz w:val="27"/>
          <w:szCs w:val="27"/>
          <w:lang w:val="en-US" w:eastAsia="zh-CN"/>
        </w:rPr>
        <w:t>22.75</w:t>
      </w:r>
      <w:r>
        <w:rPr>
          <w:rFonts w:ascii="仿宋_GB2312" w:hAnsi="仿宋_GB2312" w:eastAsia="仿宋_GB2312" w:cs="仿宋_GB2312"/>
          <w:color w:val="000000"/>
          <w:kern w:val="0"/>
          <w:sz w:val="27"/>
          <w:szCs w:val="27"/>
        </w:rPr>
        <w:t>万元，其中：政府采购货物支出</w:t>
      </w:r>
      <w:r>
        <w:rPr>
          <w:rFonts w:hint="eastAsia" w:ascii="仿宋_GB2312" w:hAnsi="仿宋_GB2312" w:eastAsia="仿宋_GB2312" w:cs="仿宋_GB2312"/>
          <w:color w:val="000000"/>
          <w:kern w:val="0"/>
          <w:sz w:val="27"/>
          <w:szCs w:val="27"/>
          <w:lang w:val="en-US" w:eastAsia="zh-CN"/>
        </w:rPr>
        <w:t>12.00</w:t>
      </w:r>
      <w:r>
        <w:rPr>
          <w:rFonts w:ascii="仿宋_GB2312" w:hAnsi="仿宋_GB2312" w:eastAsia="仿宋_GB2312" w:cs="仿宋_GB2312"/>
          <w:color w:val="000000"/>
          <w:kern w:val="0"/>
          <w:sz w:val="27"/>
          <w:szCs w:val="27"/>
        </w:rPr>
        <w:t>万元、政府采购工程支出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万元、政府采购服务支出</w:t>
      </w:r>
      <w:r>
        <w:rPr>
          <w:rFonts w:hint="eastAsia" w:ascii="仿宋_GB2312" w:hAnsi="仿宋_GB2312" w:eastAsia="仿宋_GB2312" w:cs="仿宋_GB2312"/>
          <w:color w:val="000000"/>
          <w:kern w:val="0"/>
          <w:sz w:val="27"/>
          <w:szCs w:val="27"/>
          <w:lang w:val="en-US" w:eastAsia="zh-CN"/>
        </w:rPr>
        <w:t>10.75</w:t>
      </w:r>
      <w:r>
        <w:rPr>
          <w:rFonts w:ascii="仿宋_GB2312" w:hAnsi="仿宋_GB2312" w:eastAsia="仿宋_GB2312" w:cs="仿宋_GB2312"/>
          <w:color w:val="000000"/>
          <w:kern w:val="0"/>
          <w:sz w:val="27"/>
          <w:szCs w:val="27"/>
        </w:rPr>
        <w:t>万元。政府采购授予中小企业合同金额</w:t>
      </w:r>
      <w:r>
        <w:rPr>
          <w:rFonts w:hint="eastAsia" w:ascii="仿宋_GB2312" w:hAnsi="仿宋_GB2312" w:eastAsia="仿宋_GB2312" w:cs="仿宋_GB2312"/>
          <w:color w:val="000000"/>
          <w:kern w:val="0"/>
          <w:sz w:val="27"/>
          <w:szCs w:val="27"/>
          <w:lang w:val="en-US" w:eastAsia="zh-CN"/>
        </w:rPr>
        <w:t>22.75</w:t>
      </w:r>
      <w:r>
        <w:rPr>
          <w:rFonts w:ascii="仿宋_GB2312" w:hAnsi="仿宋_GB2312" w:eastAsia="仿宋_GB2312" w:cs="仿宋_GB2312"/>
          <w:color w:val="000000"/>
          <w:kern w:val="0"/>
          <w:sz w:val="27"/>
          <w:szCs w:val="27"/>
        </w:rPr>
        <w:t>万元，占政府采购支出总额的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%，其中：授予小微企业合同金额</w:t>
      </w:r>
      <w:r>
        <w:rPr>
          <w:rFonts w:hint="eastAsia" w:ascii="仿宋_GB2312" w:hAnsi="仿宋_GB2312" w:eastAsia="仿宋_GB2312" w:cs="仿宋_GB2312"/>
          <w:color w:val="000000"/>
          <w:kern w:val="0"/>
          <w:sz w:val="27"/>
          <w:szCs w:val="27"/>
          <w:lang w:val="en-US" w:eastAsia="zh-CN"/>
        </w:rPr>
        <w:t>22.75</w:t>
      </w:r>
      <w:r>
        <w:rPr>
          <w:rFonts w:ascii="仿宋_GB2312" w:hAnsi="仿宋_GB2312" w:eastAsia="仿宋_GB2312" w:cs="仿宋_GB2312"/>
          <w:color w:val="000000"/>
          <w:kern w:val="0"/>
          <w:sz w:val="27"/>
          <w:szCs w:val="27"/>
        </w:rPr>
        <w:t>万元，占政府采购支出总额的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%；货物采购授予中小企业合同金额占货物支出金额的</w:t>
      </w:r>
      <w:r>
        <w:rPr>
          <w:rFonts w:hint="eastAsia" w:ascii="仿宋_GB2312" w:hAnsi="仿宋_GB2312" w:eastAsia="仿宋_GB2312" w:cs="仿宋_GB2312"/>
          <w:color w:val="000000"/>
          <w:kern w:val="0"/>
          <w:sz w:val="27"/>
          <w:szCs w:val="27"/>
          <w:lang w:val="en-US" w:eastAsia="zh-CN"/>
        </w:rPr>
        <w:t>52.75</w:t>
      </w:r>
      <w:r>
        <w:rPr>
          <w:rFonts w:ascii="仿宋_GB2312" w:hAnsi="仿宋_GB2312" w:eastAsia="仿宋_GB2312" w:cs="仿宋_GB2312"/>
          <w:color w:val="000000"/>
          <w:kern w:val="0"/>
          <w:sz w:val="27"/>
          <w:szCs w:val="27"/>
        </w:rPr>
        <w:t>%，工程采购授予中小企业合同金额占工程支出金额的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仿宋_GB2312" w:hAnsi="仿宋_GB2312" w:eastAsia="仿宋_GB2312" w:cs="仿宋_GB2312"/>
          <w:color w:val="000000"/>
          <w:kern w:val="0"/>
          <w:sz w:val="27"/>
          <w:szCs w:val="27"/>
          <w:lang w:val="en-US" w:eastAsia="zh-CN"/>
        </w:rPr>
        <w:t>47.25</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赤峰市松山区融媒体中心 </w:t>
      </w:r>
      <w:r>
        <w:rPr>
          <w:rFonts w:ascii="仿宋_GB2312" w:hAnsi="仿宋_GB2312" w:eastAsia="仿宋_GB2312" w:cs="仿宋_GB2312"/>
          <w:color w:val="0E00FE"/>
          <w:kern w:val="0"/>
          <w:sz w:val="27"/>
          <w:szCs w:val="27"/>
        </w:rPr>
        <w:t> </w:t>
      </w:r>
      <w:r>
        <w:rPr>
          <w:rFonts w:ascii="仿宋_GB2312" w:hAnsi="仿宋_GB2312" w:eastAsia="仿宋_GB2312" w:cs="仿宋_GB2312"/>
          <w:color w:val="auto"/>
          <w:kern w:val="0"/>
          <w:sz w:val="27"/>
          <w:szCs w:val="27"/>
        </w:rPr>
        <w:t>截至2024年12月31日，本单位共有车辆 2辆，其中：副部（省）级及以上领导用车0 辆、主要负责人用车 0辆、机要通信用车 0辆、应急保障用车 0辆、执法执勤用车 0辆、特种专业技术用车 0辆、离退休干部服务用车 0辆，其他用车 2辆；单价100万元（含）以上的设备（不含车辆） 0台（套）。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赤峰市松山区融媒体中心 根据预算绩效管理要求组织对</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年一般公共预算项目支出全面开展绩效自评，其中一级项</w:t>
      </w:r>
      <w:r>
        <w:rPr>
          <w:rFonts w:hint="eastAsia" w:ascii="仿宋_GB2312" w:hAnsi="仿宋_GB2312" w:eastAsia="仿宋_GB2312" w:cs="仿宋_GB2312"/>
          <w:color w:val="000000"/>
          <w:kern w:val="0"/>
          <w:sz w:val="27"/>
          <w:szCs w:val="27"/>
          <w:lang w:val="en-US" w:eastAsia="zh-CN"/>
        </w:rPr>
        <w:t>6</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251.96</w:t>
      </w:r>
      <w:r>
        <w:rPr>
          <w:rFonts w:ascii="仿宋_GB2312" w:hAnsi="仿宋_GB2312" w:eastAsia="仿宋_GB2312" w:cs="仿宋_GB2312"/>
          <w:color w:val="000000"/>
          <w:kern w:val="0"/>
          <w:sz w:val="27"/>
          <w:szCs w:val="27"/>
        </w:rPr>
        <w:t>万元，占一般公共预算项目支出总额的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hint="eastAsia" w:ascii="仿宋_GB2312" w:hAnsi="仿宋_GB2312" w:eastAsia="仿宋_GB2312" w:cs="仿宋_GB2312"/>
          <w:color w:val="000000"/>
          <w:kern w:val="0"/>
          <w:sz w:val="27"/>
          <w:szCs w:val="27"/>
          <w:lang w:val="en-US" w:eastAsia="zh-CN"/>
        </w:rPr>
        <w:t>0%</w:t>
      </w:r>
      <w:r>
        <w:rPr>
          <w:rFonts w:hint="eastAsia" w:ascii="仿宋_GB2312" w:hAnsi="仿宋_GB2312" w:eastAsia="仿宋_GB2312" w:cs="仿宋_GB2312"/>
          <w:color w:val="000000"/>
          <w:kern w:val="0"/>
          <w:sz w:val="27"/>
          <w:szCs w:val="27"/>
          <w:lang w:eastAsia="zh-CN"/>
        </w:rPr>
        <w:t>。</w:t>
      </w:r>
    </w:p>
    <w:p>
      <w:pPr>
        <w:widowControl/>
        <w:spacing w:before="240" w:after="240"/>
        <w:ind w:firstLine="420"/>
        <w:rPr>
          <w:rFonts w:ascii="仿宋_GB2312" w:hAnsi="仿宋_GB2312" w:eastAsia="仿宋_GB2312" w:cs="仿宋_GB2312"/>
          <w:color w:val="000000"/>
          <w:kern w:val="0"/>
          <w:sz w:val="27"/>
          <w:szCs w:val="27"/>
          <w:highlight w:val="none"/>
        </w:rPr>
      </w:pPr>
      <w:r>
        <w:rPr>
          <w:rFonts w:ascii="仿宋_GB2312" w:hAnsi="仿宋_GB2312" w:eastAsia="仿宋_GB2312" w:cs="仿宋_GB2312"/>
          <w:color w:val="000000"/>
          <w:kern w:val="0"/>
          <w:sz w:val="27"/>
          <w:szCs w:val="27"/>
          <w:highlight w:val="none"/>
        </w:rPr>
        <w:t>组织对“</w:t>
      </w:r>
      <w:r>
        <w:rPr>
          <w:rFonts w:hint="eastAsia" w:ascii="仿宋_GB2312" w:hAnsi="仿宋_GB2312" w:eastAsia="仿宋_GB2312" w:cs="仿宋_GB2312"/>
          <w:color w:val="000000"/>
          <w:kern w:val="0"/>
          <w:sz w:val="27"/>
          <w:szCs w:val="27"/>
          <w:highlight w:val="none"/>
          <w:lang w:eastAsia="zh-CN"/>
        </w:rPr>
        <w:t>《今日松山》播出运营费</w:t>
      </w:r>
      <w:r>
        <w:rPr>
          <w:rFonts w:ascii="仿宋_GB2312" w:hAnsi="仿宋_GB2312" w:eastAsia="仿宋_GB2312" w:cs="仿宋_GB2312"/>
          <w:color w:val="000000"/>
          <w:kern w:val="0"/>
          <w:sz w:val="27"/>
          <w:szCs w:val="27"/>
          <w:highlight w:val="none"/>
        </w:rPr>
        <w:t>项目”、</w:t>
      </w:r>
      <w:r>
        <w:rPr>
          <w:rFonts w:hint="eastAsia" w:ascii="仿宋_GB2312" w:hAnsi="仿宋_GB2312" w:eastAsia="仿宋_GB2312" w:cs="仿宋_GB2312"/>
          <w:color w:val="000000"/>
          <w:kern w:val="0"/>
          <w:sz w:val="27"/>
          <w:szCs w:val="27"/>
          <w:highlight w:val="none"/>
          <w:lang w:eastAsia="zh-CN"/>
        </w:rPr>
        <w:t>“广播电视运营维护费项目”、“新媒体运行维护费项目”、</w:t>
      </w:r>
      <w:r>
        <w:rPr>
          <w:rFonts w:ascii="仿宋_GB2312" w:hAnsi="仿宋_GB2312" w:eastAsia="仿宋_GB2312" w:cs="仿宋_GB2312"/>
          <w:color w:val="000000"/>
          <w:kern w:val="0"/>
          <w:sz w:val="27"/>
          <w:szCs w:val="27"/>
          <w:highlight w:val="none"/>
        </w:rPr>
        <w:t>“</w:t>
      </w:r>
      <w:r>
        <w:rPr>
          <w:rFonts w:hint="eastAsia" w:ascii="仿宋_GB2312" w:hAnsi="仿宋_GB2312" w:eastAsia="仿宋_GB2312" w:cs="仿宋_GB2312"/>
          <w:color w:val="000000"/>
          <w:kern w:val="0"/>
          <w:sz w:val="27"/>
          <w:szCs w:val="27"/>
          <w:highlight w:val="none"/>
          <w:lang w:eastAsia="zh-CN"/>
        </w:rPr>
        <w:t>中央少数民族地区和边疆地区安全补助资金</w:t>
      </w:r>
      <w:r>
        <w:rPr>
          <w:rFonts w:ascii="仿宋_GB2312" w:hAnsi="仿宋_GB2312" w:eastAsia="仿宋_GB2312" w:cs="仿宋_GB2312"/>
          <w:color w:val="000000"/>
          <w:kern w:val="0"/>
          <w:sz w:val="27"/>
          <w:szCs w:val="27"/>
          <w:highlight w:val="none"/>
        </w:rPr>
        <w:t>项目”、“</w:t>
      </w:r>
      <w:r>
        <w:rPr>
          <w:rFonts w:hint="eastAsia" w:ascii="仿宋_GB2312" w:hAnsi="仿宋_GB2312" w:eastAsia="仿宋_GB2312" w:cs="仿宋_GB2312"/>
          <w:color w:val="000000"/>
          <w:kern w:val="0"/>
          <w:sz w:val="27"/>
          <w:szCs w:val="27"/>
          <w:highlight w:val="none"/>
          <w:lang w:eastAsia="zh-CN"/>
        </w:rPr>
        <w:t>中央支持地方公共文化服务体系建设补助资金</w:t>
      </w:r>
      <w:r>
        <w:rPr>
          <w:rFonts w:ascii="仿宋_GB2312" w:hAnsi="仿宋_GB2312" w:eastAsia="仿宋_GB2312" w:cs="仿宋_GB2312"/>
          <w:color w:val="000000"/>
          <w:kern w:val="0"/>
          <w:sz w:val="27"/>
          <w:szCs w:val="27"/>
          <w:highlight w:val="none"/>
        </w:rPr>
        <w:t>项目”</w:t>
      </w:r>
      <w:r>
        <w:rPr>
          <w:rFonts w:hint="eastAsia" w:ascii="仿宋_GB2312" w:hAnsi="仿宋_GB2312" w:eastAsia="仿宋_GB2312" w:cs="仿宋_GB2312"/>
          <w:color w:val="000000"/>
          <w:kern w:val="0"/>
          <w:sz w:val="27"/>
          <w:szCs w:val="27"/>
          <w:highlight w:val="none"/>
          <w:lang w:eastAsia="zh-CN"/>
        </w:rPr>
        <w:t>、“中央补助地方公共文化建设服务体系建设资金项目”</w:t>
      </w:r>
      <w:r>
        <w:rPr>
          <w:rFonts w:ascii="仿宋_GB2312" w:hAnsi="仿宋_GB2312" w:eastAsia="仿宋_GB2312" w:cs="仿宋_GB2312"/>
          <w:color w:val="000000"/>
          <w:kern w:val="0"/>
          <w:sz w:val="27"/>
          <w:szCs w:val="27"/>
          <w:highlight w:val="none"/>
        </w:rPr>
        <w:t>等</w:t>
      </w:r>
      <w:r>
        <w:rPr>
          <w:rFonts w:hint="eastAsia" w:ascii="仿宋_GB2312" w:hAnsi="仿宋_GB2312" w:eastAsia="仿宋_GB2312" w:cs="仿宋_GB2312"/>
          <w:color w:val="000000"/>
          <w:kern w:val="0"/>
          <w:sz w:val="27"/>
          <w:szCs w:val="27"/>
          <w:highlight w:val="none"/>
          <w:lang w:val="en-US" w:eastAsia="zh-CN"/>
        </w:rPr>
        <w:t>6</w:t>
      </w:r>
      <w:r>
        <w:rPr>
          <w:rFonts w:ascii="仿宋_GB2312" w:hAnsi="仿宋_GB2312" w:eastAsia="仿宋_GB2312" w:cs="仿宋_GB2312"/>
          <w:color w:val="000000"/>
          <w:kern w:val="0"/>
          <w:sz w:val="27"/>
          <w:szCs w:val="27"/>
          <w:highlight w:val="none"/>
        </w:rPr>
        <w:t>个项目开展了部门评价，涉及一般公共预算支出</w:t>
      </w:r>
      <w:r>
        <w:rPr>
          <w:rFonts w:hint="eastAsia" w:ascii="仿宋_GB2312" w:hAnsi="仿宋_GB2312" w:eastAsia="仿宋_GB2312" w:cs="仿宋_GB2312"/>
          <w:color w:val="000000"/>
          <w:kern w:val="0"/>
          <w:sz w:val="27"/>
          <w:szCs w:val="27"/>
          <w:highlight w:val="none"/>
          <w:lang w:val="en-US" w:eastAsia="zh-CN"/>
        </w:rPr>
        <w:t>251.96</w:t>
      </w:r>
      <w:r>
        <w:rPr>
          <w:rFonts w:ascii="仿宋_GB2312" w:hAnsi="仿宋_GB2312" w:eastAsia="仿宋_GB2312" w:cs="仿宋_GB2312"/>
          <w:color w:val="000000"/>
          <w:kern w:val="0"/>
          <w:sz w:val="27"/>
          <w:szCs w:val="27"/>
          <w:highlight w:val="none"/>
        </w:rPr>
        <w:t>万元，政府性基金支出</w:t>
      </w:r>
      <w:r>
        <w:rPr>
          <w:rFonts w:hint="eastAsia" w:ascii="仿宋_GB2312" w:hAnsi="仿宋_GB2312" w:eastAsia="仿宋_GB2312" w:cs="仿宋_GB2312"/>
          <w:color w:val="000000"/>
          <w:kern w:val="0"/>
          <w:sz w:val="27"/>
          <w:szCs w:val="27"/>
          <w:highlight w:val="none"/>
          <w:lang w:val="en-US" w:eastAsia="zh-CN"/>
        </w:rPr>
        <w:t>0</w:t>
      </w:r>
      <w:r>
        <w:rPr>
          <w:rFonts w:ascii="仿宋_GB2312" w:hAnsi="仿宋_GB2312" w:eastAsia="仿宋_GB2312" w:cs="仿宋_GB2312"/>
          <w:color w:val="000000"/>
          <w:kern w:val="0"/>
          <w:sz w:val="27"/>
          <w:szCs w:val="27"/>
          <w:highlight w:val="none"/>
        </w:rPr>
        <w:t>万元</w:t>
      </w:r>
      <w:r>
        <w:rPr>
          <w:rFonts w:hint="eastAsia" w:ascii="仿宋_GB2312" w:hAnsi="仿宋_GB2312" w:eastAsia="仿宋_GB2312" w:cs="仿宋_GB2312"/>
          <w:color w:val="000000"/>
          <w:kern w:val="0"/>
          <w:sz w:val="27"/>
          <w:szCs w:val="27"/>
          <w:highlight w:val="none"/>
          <w:lang w:eastAsia="zh-CN"/>
        </w:rPr>
        <w:t>。</w:t>
      </w:r>
      <w:r>
        <w:rPr>
          <w:rFonts w:ascii="仿宋_GB2312" w:hAnsi="仿宋_GB2312" w:eastAsia="仿宋_GB2312" w:cs="仿宋_GB2312"/>
          <w:color w:val="000000"/>
          <w:kern w:val="0"/>
          <w:sz w:val="27"/>
          <w:szCs w:val="27"/>
          <w:highlight w:val="none"/>
        </w:rPr>
        <w:t>从评价情况看，以上项目</w:t>
      </w:r>
      <w:r>
        <w:rPr>
          <w:rFonts w:hint="eastAsia" w:ascii="仿宋_GB2312" w:hAnsi="仿宋_GB2312" w:eastAsia="仿宋_GB2312" w:cs="仿宋_GB2312"/>
          <w:color w:val="000000"/>
          <w:kern w:val="0"/>
          <w:sz w:val="27"/>
          <w:szCs w:val="27"/>
          <w:highlight w:val="none"/>
          <w:lang w:eastAsia="zh-CN"/>
        </w:rPr>
        <w:t>总体资金绩效良好，因财政资金支付能力有限，虽然平台有指标，但实际执行中存在用款计划和支付审核滞后问题，导致单位只能强制压缩支出，按“三保”原则推进工作，所以存在执行率只能达到中上水平，满足单位基本运转。</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 xml:space="preserve"> </w:t>
      </w:r>
      <w:r>
        <w:rPr>
          <w:rFonts w:ascii="仿宋_GB2312" w:hAnsi="仿宋_GB2312" w:eastAsia="仿宋_GB2312" w:cs="仿宋_GB2312"/>
          <w:color w:val="000000"/>
          <w:kern w:val="0"/>
          <w:sz w:val="27"/>
          <w:szCs w:val="27"/>
        </w:rPr>
        <w:t>赤峰市松山区融媒体中心 </w:t>
      </w:r>
      <w:r>
        <w:rPr>
          <w:rFonts w:hint="eastAsia" w:ascii="仿宋_GB2312" w:hAnsi="仿宋_GB2312" w:eastAsia="仿宋_GB2312" w:cs="仿宋_GB2312"/>
          <w:color w:val="000000"/>
          <w:kern w:val="0"/>
          <w:sz w:val="27"/>
          <w:szCs w:val="27"/>
          <w:lang w:val="en-US" w:eastAsia="zh-CN"/>
        </w:rPr>
        <w:t>2024</w:t>
      </w:r>
      <w:r>
        <w:rPr>
          <w:rFonts w:ascii="仿宋_GB2312" w:hAnsi="仿宋_GB2312" w:eastAsia="仿宋_GB2312" w:cs="仿宋_GB2312"/>
          <w:color w:val="000000"/>
          <w:kern w:val="0"/>
          <w:sz w:val="27"/>
          <w:szCs w:val="27"/>
        </w:rPr>
        <w:t>年度在决算中反映</w:t>
      </w:r>
      <w:r>
        <w:rPr>
          <w:rFonts w:hint="eastAsia" w:ascii="仿宋_GB2312" w:hAnsi="仿宋_GB2312" w:eastAsia="仿宋_GB2312" w:cs="仿宋_GB2312"/>
          <w:color w:val="000000"/>
          <w:kern w:val="0"/>
          <w:sz w:val="27"/>
          <w:szCs w:val="27"/>
          <w:lang w:val="en-US" w:eastAsia="zh-CN"/>
        </w:rPr>
        <w:t>6</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个政府性基金项目，共</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个项目的绩效自评结果。</w:t>
      </w:r>
    </w:p>
    <w:p>
      <w:pPr>
        <w:widowControl/>
        <w:numPr>
          <w:ilvl w:val="0"/>
          <w:numId w:val="1"/>
        </w:numPr>
        <w:spacing w:before="240" w:after="240"/>
        <w:ind w:firstLine="36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eastAsia="zh-CN"/>
        </w:rPr>
        <w:t>《今日松山》播出运营费</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27</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27</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年初预</w:t>
      </w:r>
      <w:r>
        <w:rPr>
          <w:rFonts w:hint="eastAsia" w:ascii="仿宋_GB2312" w:hAnsi="仿宋_GB2312" w:eastAsia="仿宋_GB2312" w:cs="仿宋_GB2312"/>
          <w:color w:val="000000"/>
          <w:kern w:val="0"/>
          <w:sz w:val="27"/>
          <w:szCs w:val="27"/>
          <w:lang w:val="en-US" w:eastAsia="zh-CN"/>
        </w:rPr>
        <w:t>算数为90万元，因财政资金支付能力有限，年度调减63万元，全年预算数为27万元。项目产出指标中的数量指标、质量等各指标均已完成。</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eastAsia="zh-CN"/>
        </w:rPr>
        <w:t>因财政资金支付能力有限，所以有部分费用未支付，成为单位欠款</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eastAsia="zh-CN"/>
        </w:rPr>
        <w:t>对项目资源进行细致规划和调研，压缩开支，以确保项目的成功率和顺利实施</w:t>
      </w:r>
      <w:r>
        <w:rPr>
          <w:rFonts w:ascii="仿宋_GB2312" w:hAnsi="仿宋_GB2312" w:eastAsia="仿宋_GB2312" w:cs="仿宋_GB2312"/>
          <w:color w:val="000000"/>
          <w:kern w:val="0"/>
          <w:sz w:val="27"/>
          <w:szCs w:val="27"/>
        </w:rPr>
        <w:t>。</w:t>
      </w:r>
    </w:p>
    <w:tbl>
      <w:tblPr>
        <w:tblW w:w="99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505"/>
        <w:gridCol w:w="1063"/>
        <w:gridCol w:w="1264"/>
        <w:gridCol w:w="629"/>
        <w:gridCol w:w="631"/>
        <w:gridCol w:w="778"/>
        <w:gridCol w:w="1043"/>
        <w:gridCol w:w="806"/>
        <w:gridCol w:w="645"/>
        <w:gridCol w:w="927"/>
        <w:gridCol w:w="1170"/>
      </w:tblGrid>
      <w:tr>
        <w:trPr>
          <w:trHeight w:val="960" w:hRule="atLeast"/>
        </w:trPr>
        <w:tc>
          <w:tcPr>
            <w:tcW w:w="9950" w:type="dxa"/>
            <w:gridSpan w:val="1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b/>
                <w:kern w:val="2"/>
                <w:sz w:val="21"/>
                <w:szCs w:val="22"/>
                <w:lang w:val="en-US"/>
              </w:rPr>
            </w:pPr>
            <w:r>
              <w:rPr>
                <w:rFonts w:hint="eastAsia" w:ascii="Calibri" w:hAnsi="Calibri" w:eastAsia="宋体" w:cs="宋体"/>
                <w:b/>
                <w:kern w:val="2"/>
                <w:sz w:val="21"/>
                <w:szCs w:val="22"/>
                <w:lang w:val="en-US" w:eastAsia="zh-CN"/>
              </w:rPr>
              <w:t>项目支出绩效自评表</w:t>
            </w:r>
            <w:r>
              <w:rPr>
                <w:rFonts w:hint="default" w:ascii="Calibri" w:hAnsi="Calibri" w:eastAsia="宋体" w:cs="Times New Roman"/>
                <w:b/>
                <w:kern w:val="2"/>
                <w:sz w:val="21"/>
                <w:szCs w:val="22"/>
                <w:lang w:val="en-US" w:eastAsia="zh-CN"/>
              </w:rPr>
              <w:br/>
            </w:r>
            <w:r>
              <w:rPr>
                <w:rFonts w:hint="default" w:ascii="Calibri" w:hAnsi="Calibri" w:eastAsia="宋体" w:cs="Times New Roman"/>
                <w:b/>
                <w:kern w:val="2"/>
                <w:sz w:val="21"/>
                <w:szCs w:val="22"/>
                <w:lang w:val="en-US" w:eastAsia="zh-CN"/>
              </w:rPr>
              <w:t>(2024</w:t>
            </w:r>
            <w:r>
              <w:rPr>
                <w:rFonts w:hint="eastAsia" w:ascii="Calibri" w:hAnsi="Calibri" w:eastAsia="宋体" w:cs="宋体"/>
                <w:b/>
                <w:kern w:val="2"/>
                <w:sz w:val="21"/>
                <w:szCs w:val="22"/>
                <w:lang w:val="en-US" w:eastAsia="zh-CN"/>
              </w:rPr>
              <w:t>年度）</w:t>
            </w:r>
          </w:p>
        </w:tc>
      </w:tr>
      <w:tr>
        <w:trPr>
          <w:trHeight w:val="375" w:hRule="atLeast"/>
        </w:trPr>
        <w:tc>
          <w:tcPr>
            <w:tcW w:w="99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项目名称</w:t>
            </w:r>
          </w:p>
        </w:tc>
        <w:tc>
          <w:tcPr>
            <w:tcW w:w="8956" w:type="dxa"/>
            <w:gridSpan w:val="10"/>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《今日松山》播出运营经费</w:t>
            </w:r>
          </w:p>
        </w:tc>
      </w:tr>
      <w:tr>
        <w:trPr>
          <w:trHeight w:val="375" w:hRule="atLeast"/>
        </w:trPr>
        <w:tc>
          <w:tcPr>
            <w:tcW w:w="99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主管部门</w:t>
            </w:r>
          </w:p>
        </w:tc>
        <w:tc>
          <w:tcPr>
            <w:tcW w:w="3587"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实施单位</w:t>
            </w:r>
          </w:p>
        </w:tc>
        <w:tc>
          <w:tcPr>
            <w:tcW w:w="3548"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r>
      <w:tr>
        <w:trPr>
          <w:trHeight w:val="375" w:hRule="atLeast"/>
        </w:trPr>
        <w:tc>
          <w:tcPr>
            <w:tcW w:w="99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项目资金</w:t>
            </w:r>
            <w:r>
              <w:rPr>
                <w:rFonts w:hint="default" w:ascii="Calibri" w:hAnsi="Calibri" w:eastAsia="宋体" w:cs="Times New Roman"/>
                <w:kern w:val="2"/>
                <w:sz w:val="21"/>
                <w:szCs w:val="22"/>
                <w:lang w:val="en-US" w:eastAsia="zh-CN"/>
              </w:rPr>
              <w:br/>
            </w:r>
            <w:r>
              <w:rPr>
                <w:rFonts w:hint="eastAsia" w:ascii="Calibri" w:hAnsi="Calibri" w:eastAsia="宋体" w:cs="宋体"/>
                <w:kern w:val="2"/>
                <w:sz w:val="21"/>
                <w:szCs w:val="22"/>
                <w:lang w:val="en-US" w:eastAsia="zh-CN"/>
              </w:rPr>
              <w:t>（万元）</w:t>
            </w:r>
          </w:p>
        </w:tc>
        <w:tc>
          <w:tcPr>
            <w:tcW w:w="1063"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年初预算数</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全年预算数</w:t>
            </w:r>
          </w:p>
        </w:tc>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全年执行数</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执行率（</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r>
      <w:tr>
        <w:trPr>
          <w:trHeight w:val="375"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年度资金总额</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90</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27</w:t>
            </w:r>
          </w:p>
        </w:tc>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27</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r>
      <w:tr>
        <w:trPr>
          <w:trHeight w:val="375"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其中：财政拨款</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90</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27</w:t>
            </w:r>
          </w:p>
        </w:tc>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27</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上年结转资金</w:t>
            </w:r>
          </w:p>
        </w:tc>
        <w:tc>
          <w:tcPr>
            <w:tcW w:w="1264"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821"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其他资金</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821"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99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年度总体目标</w:t>
            </w: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预期目标</w:t>
            </w:r>
          </w:p>
        </w:tc>
        <w:tc>
          <w:tcPr>
            <w:tcW w:w="4591"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实际完成情况</w:t>
            </w:r>
          </w:p>
        </w:tc>
      </w:tr>
      <w:tr>
        <w:trPr>
          <w:trHeight w:val="1515" w:hRule="atLeast"/>
        </w:trPr>
        <w:tc>
          <w:tcPr>
            <w:tcW w:w="99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4365"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《今日松山》电视栏目预算支出</w:t>
            </w:r>
            <w:r>
              <w:rPr>
                <w:rFonts w:hint="default" w:ascii="Calibri" w:hAnsi="Calibri" w:eastAsia="宋体" w:cs="Times New Roman"/>
                <w:kern w:val="2"/>
                <w:sz w:val="21"/>
                <w:szCs w:val="22"/>
                <w:lang w:val="en-US" w:eastAsia="zh-CN"/>
              </w:rPr>
              <w:t>90</w:t>
            </w:r>
            <w:r>
              <w:rPr>
                <w:rFonts w:hint="eastAsia" w:ascii="Calibri" w:hAnsi="Calibri" w:eastAsia="宋体" w:cs="宋体"/>
                <w:kern w:val="2"/>
                <w:sz w:val="21"/>
                <w:szCs w:val="22"/>
                <w:lang w:val="en-US" w:eastAsia="zh-CN"/>
              </w:rPr>
              <w:t>万元；主要用于付给赤峰市广播电视台播出通道费</w:t>
            </w:r>
            <w:r>
              <w:rPr>
                <w:rFonts w:hint="default" w:ascii="Calibri" w:hAnsi="Calibri" w:eastAsia="宋体" w:cs="Times New Roman"/>
                <w:kern w:val="2"/>
                <w:sz w:val="21"/>
                <w:szCs w:val="22"/>
                <w:lang w:val="en-US" w:eastAsia="zh-CN"/>
              </w:rPr>
              <w:t>60</w:t>
            </w:r>
            <w:r>
              <w:rPr>
                <w:rFonts w:hint="eastAsia" w:ascii="Calibri" w:hAnsi="Calibri" w:eastAsia="宋体" w:cs="宋体"/>
                <w:kern w:val="2"/>
                <w:sz w:val="21"/>
                <w:szCs w:val="22"/>
                <w:lang w:val="en-US" w:eastAsia="zh-CN"/>
              </w:rPr>
              <w:t>万元，乡镇信号转播机房维护费</w:t>
            </w:r>
            <w:r>
              <w:rPr>
                <w:rFonts w:hint="default" w:ascii="Calibri" w:hAnsi="Calibri" w:eastAsia="宋体" w:cs="Times New Roman"/>
                <w:kern w:val="2"/>
                <w:sz w:val="21"/>
                <w:szCs w:val="22"/>
                <w:lang w:val="en-US" w:eastAsia="zh-CN"/>
              </w:rPr>
              <w:t>20</w:t>
            </w:r>
            <w:r>
              <w:rPr>
                <w:rFonts w:hint="eastAsia" w:ascii="Calibri" w:hAnsi="Calibri" w:eastAsia="宋体" w:cs="宋体"/>
                <w:kern w:val="2"/>
                <w:sz w:val="21"/>
                <w:szCs w:val="22"/>
                <w:lang w:val="en-US" w:eastAsia="zh-CN"/>
              </w:rPr>
              <w:t>万元，新闻采编播人员办公费</w:t>
            </w:r>
            <w:r>
              <w:rPr>
                <w:rFonts w:hint="default" w:ascii="Calibri" w:hAnsi="Calibri" w:eastAsia="宋体" w:cs="Times New Roman"/>
                <w:kern w:val="2"/>
                <w:sz w:val="21"/>
                <w:szCs w:val="22"/>
                <w:lang w:val="en-US" w:eastAsia="zh-CN"/>
              </w:rPr>
              <w:t>10</w:t>
            </w:r>
            <w:r>
              <w:rPr>
                <w:rFonts w:hint="eastAsia" w:ascii="Calibri" w:hAnsi="Calibri" w:eastAsia="宋体" w:cs="宋体"/>
                <w:kern w:val="2"/>
                <w:sz w:val="21"/>
                <w:szCs w:val="22"/>
                <w:lang w:val="en-US" w:eastAsia="zh-CN"/>
              </w:rPr>
              <w:t>万元；保障松山区委、区政府的电视宣传，提升传播力、引导力、影响力、公信力。</w:t>
            </w:r>
          </w:p>
        </w:tc>
        <w:tc>
          <w:tcPr>
            <w:tcW w:w="4591"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主要用完《今日松山》采编节目的采编制作等费用，向人民传播松山的美好和变化、以及松山大事，保障松山区委、区政府的电视宣传，提升传播力、引导力、影响力、公信力。</w:t>
            </w:r>
          </w:p>
        </w:tc>
      </w:tr>
      <w:tr>
        <w:trPr>
          <w:trHeight w:val="375" w:hRule="atLeast"/>
        </w:trPr>
        <w:tc>
          <w:tcPr>
            <w:tcW w:w="48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一级指标</w:t>
            </w: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二级指标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三级指标</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指标性质</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指标方向</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年度指标值</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实际完成值</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计量单位</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偏差原因分析及改进措施</w:t>
            </w:r>
          </w:p>
        </w:tc>
      </w:tr>
      <w:tr>
        <w:trPr>
          <w:trHeight w:val="840" w:hRule="atLeast"/>
        </w:trPr>
        <w:tc>
          <w:tcPr>
            <w:tcW w:w="48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50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产出指标</w:t>
            </w: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数量指标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今日松山节目播放次数</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360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365.00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次</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年</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机房运维人数</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质量指标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今日松山内容合格率</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维修运维质量达标率</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时效指标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播放时间</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天</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机房运行维护时间</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成本指标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今日松山播出通道费</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60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万元</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机房运维总成本</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万元</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效益指标</w:t>
            </w: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社会效益指标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提升松山区委区政府公信力</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3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显著提升</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显著提升</w:t>
            </w:r>
          </w:p>
        </w:tc>
        <w:tc>
          <w:tcPr>
            <w:tcW w:w="80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可持续影响指标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持续提高政府沟通解决群众问题的能力</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3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长期</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长期</w:t>
            </w:r>
          </w:p>
        </w:tc>
        <w:tc>
          <w:tcPr>
            <w:tcW w:w="806"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0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满意度指标</w:t>
            </w: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服务对象满意度指标</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服务群众满意度</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3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95</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98.00</w:t>
            </w:r>
          </w:p>
        </w:tc>
        <w:tc>
          <w:tcPr>
            <w:tcW w:w="8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7208" w:type="dxa"/>
            <w:gridSpan w:val="9"/>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总分</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2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bl>
    <w:p>
      <w:pPr>
        <w:widowControl/>
        <w:spacing w:before="240" w:after="24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 xml:space="preserve">    2.广播电视运营维护费</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4</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4</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年初预</w:t>
      </w:r>
      <w:r>
        <w:rPr>
          <w:rFonts w:hint="eastAsia" w:ascii="仿宋_GB2312" w:hAnsi="仿宋_GB2312" w:eastAsia="仿宋_GB2312" w:cs="仿宋_GB2312"/>
          <w:color w:val="000000"/>
          <w:kern w:val="0"/>
          <w:sz w:val="27"/>
          <w:szCs w:val="27"/>
          <w:lang w:val="en-US" w:eastAsia="zh-CN"/>
        </w:rPr>
        <w:t>算数为5万元，因财政资金支付能力有限，年度调减1万元，全年预算数为4万元。项目产出指标中的数量指标、质量等各指标均已完成。</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eastAsia="zh-CN"/>
        </w:rPr>
        <w:t>因财政资金支付能力有限，所以有部分费用未支付，成为单位欠款</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eastAsia="zh-CN"/>
        </w:rPr>
        <w:t>对项目资源进行细致规划和调研，压缩开支，以确保项目的成功率和顺利实施</w:t>
      </w:r>
      <w:r>
        <w:rPr>
          <w:rFonts w:ascii="仿宋_GB2312" w:hAnsi="仿宋_GB2312" w:eastAsia="仿宋_GB2312" w:cs="仿宋_GB2312"/>
          <w:color w:val="000000"/>
          <w:kern w:val="0"/>
          <w:sz w:val="27"/>
          <w:szCs w:val="27"/>
        </w:rPr>
        <w:t>。</w:t>
      </w:r>
    </w:p>
    <w:tbl>
      <w:tblPr>
        <w:tblW w:w="99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2"/>
        <w:gridCol w:w="952"/>
        <w:gridCol w:w="795"/>
        <w:gridCol w:w="897"/>
        <w:gridCol w:w="663"/>
        <w:gridCol w:w="663"/>
        <w:gridCol w:w="798"/>
        <w:gridCol w:w="966"/>
        <w:gridCol w:w="772"/>
        <w:gridCol w:w="732"/>
        <w:gridCol w:w="1161"/>
        <w:gridCol w:w="598"/>
      </w:tblGrid>
      <w:tr>
        <w:trPr>
          <w:trHeight w:val="960" w:hRule="atLeast"/>
        </w:trPr>
        <w:tc>
          <w:tcPr>
            <w:tcW w:w="9949" w:type="dxa"/>
            <w:gridSpan w:val="1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b/>
                <w:kern w:val="2"/>
                <w:sz w:val="21"/>
                <w:szCs w:val="22"/>
                <w:lang w:val="en-US"/>
              </w:rPr>
            </w:pPr>
            <w:r>
              <w:rPr>
                <w:rFonts w:hint="eastAsia" w:ascii="Calibri" w:hAnsi="Calibri" w:eastAsia="宋体" w:cs="宋体"/>
                <w:b/>
                <w:kern w:val="2"/>
                <w:sz w:val="21"/>
                <w:szCs w:val="22"/>
                <w:lang w:val="en-US" w:eastAsia="zh-CN"/>
              </w:rPr>
              <w:t>项目支出绩效自评表</w:t>
            </w:r>
            <w:r>
              <w:rPr>
                <w:rFonts w:hint="default" w:ascii="Calibri" w:hAnsi="Calibri" w:eastAsia="宋体" w:cs="Times New Roman"/>
                <w:b/>
                <w:kern w:val="2"/>
                <w:sz w:val="21"/>
                <w:szCs w:val="22"/>
                <w:lang w:val="en-US" w:eastAsia="zh-CN"/>
              </w:rPr>
              <w:br/>
            </w:r>
            <w:r>
              <w:rPr>
                <w:rFonts w:hint="default" w:ascii="Calibri" w:hAnsi="Calibri" w:eastAsia="宋体" w:cs="Times New Roman"/>
                <w:b/>
                <w:kern w:val="2"/>
                <w:sz w:val="21"/>
                <w:szCs w:val="22"/>
                <w:lang w:val="en-US" w:eastAsia="zh-CN"/>
              </w:rPr>
              <w:t>(2024</w:t>
            </w:r>
            <w:r>
              <w:rPr>
                <w:rFonts w:hint="eastAsia" w:ascii="Calibri" w:hAnsi="Calibri" w:eastAsia="宋体" w:cs="宋体"/>
                <w:b/>
                <w:kern w:val="2"/>
                <w:sz w:val="21"/>
                <w:szCs w:val="22"/>
                <w:lang w:val="en-US" w:eastAsia="zh-CN"/>
              </w:rPr>
              <w:t>年度）</w:t>
            </w:r>
          </w:p>
        </w:tc>
      </w:tr>
      <w:tr>
        <w:trPr>
          <w:trHeight w:val="375" w:hRule="atLeast"/>
        </w:trPr>
        <w:tc>
          <w:tcPr>
            <w:tcW w:w="190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项目名称</w:t>
            </w:r>
          </w:p>
        </w:tc>
        <w:tc>
          <w:tcPr>
            <w:tcW w:w="8045" w:type="dxa"/>
            <w:gridSpan w:val="10"/>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广播电视运行经费</w:t>
            </w:r>
          </w:p>
        </w:tc>
      </w:tr>
      <w:tr>
        <w:trPr>
          <w:trHeight w:val="375" w:hRule="atLeast"/>
        </w:trPr>
        <w:tc>
          <w:tcPr>
            <w:tcW w:w="190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主管部门</w:t>
            </w:r>
          </w:p>
        </w:tc>
        <w:tc>
          <w:tcPr>
            <w:tcW w:w="3018"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实施单位</w:t>
            </w:r>
          </w:p>
        </w:tc>
        <w:tc>
          <w:tcPr>
            <w:tcW w:w="3263"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r>
      <w:tr>
        <w:trPr>
          <w:trHeight w:val="375" w:hRule="atLeast"/>
        </w:trPr>
        <w:tc>
          <w:tcPr>
            <w:tcW w:w="19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项目资金</w:t>
            </w:r>
            <w:r>
              <w:rPr>
                <w:rFonts w:hint="default" w:ascii="Calibri" w:hAnsi="Calibri" w:eastAsia="宋体" w:cs="Times New Roman"/>
                <w:kern w:val="2"/>
                <w:sz w:val="21"/>
                <w:szCs w:val="22"/>
                <w:lang w:val="en-US" w:eastAsia="zh-CN"/>
              </w:rPr>
              <w:br/>
            </w:r>
            <w:r>
              <w:rPr>
                <w:rFonts w:hint="eastAsia" w:ascii="Calibri" w:hAnsi="Calibri" w:eastAsia="宋体" w:cs="宋体"/>
                <w:kern w:val="2"/>
                <w:sz w:val="21"/>
                <w:szCs w:val="22"/>
                <w:lang w:val="en-US" w:eastAsia="zh-CN"/>
              </w:rPr>
              <w:t>（万元）</w:t>
            </w:r>
          </w:p>
        </w:tc>
        <w:tc>
          <w:tcPr>
            <w:tcW w:w="795"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年初预算数</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全年预算数</w:t>
            </w: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全年执行数</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执行率（</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r>
      <w:tr>
        <w:trPr>
          <w:trHeight w:val="375" w:hRule="atLeast"/>
        </w:trPr>
        <w:tc>
          <w:tcPr>
            <w:tcW w:w="190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年度资金总额</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w:t>
            </w: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r>
      <w:tr>
        <w:trPr>
          <w:trHeight w:val="375" w:hRule="atLeast"/>
        </w:trPr>
        <w:tc>
          <w:tcPr>
            <w:tcW w:w="190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其中：财政拨款</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w:t>
            </w: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0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上年结转资金</w:t>
            </w:r>
          </w:p>
        </w:tc>
        <w:tc>
          <w:tcPr>
            <w:tcW w:w="89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0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其他资金</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32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76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9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年度总体目标</w:t>
            </w:r>
          </w:p>
        </w:tc>
        <w:tc>
          <w:tcPr>
            <w:tcW w:w="3816"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预期目标</w:t>
            </w:r>
          </w:p>
        </w:tc>
        <w:tc>
          <w:tcPr>
            <w:tcW w:w="4229"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实际完成情况</w:t>
            </w:r>
          </w:p>
        </w:tc>
      </w:tr>
      <w:tr>
        <w:trPr>
          <w:trHeight w:val="1110" w:hRule="atLeast"/>
        </w:trPr>
        <w:tc>
          <w:tcPr>
            <w:tcW w:w="1904"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3816"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广播电视运行经费预算支出</w:t>
            </w:r>
            <w:r>
              <w:rPr>
                <w:rFonts w:hint="default" w:ascii="Calibri" w:hAnsi="Calibri" w:eastAsia="宋体" w:cs="Times New Roman"/>
                <w:kern w:val="2"/>
                <w:sz w:val="21"/>
                <w:szCs w:val="22"/>
                <w:lang w:val="en-US" w:eastAsia="zh-CN"/>
              </w:rPr>
              <w:t>5</w:t>
            </w:r>
            <w:r>
              <w:rPr>
                <w:rFonts w:hint="eastAsia" w:ascii="Calibri" w:hAnsi="Calibri" w:eastAsia="宋体" w:cs="宋体"/>
                <w:kern w:val="2"/>
                <w:sz w:val="21"/>
                <w:szCs w:val="22"/>
                <w:lang w:val="en-US" w:eastAsia="zh-CN"/>
              </w:rPr>
              <w:t>万元，主要用于网络的维护和维修，设备易损零件的更换，日常办公等费用，保障广播电视节目传输信号的覆盖，系统模块及功能的改进，确保系统运行安全稳定、</w:t>
            </w:r>
          </w:p>
        </w:tc>
        <w:tc>
          <w:tcPr>
            <w:tcW w:w="4229"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用于网络的维护和维修，设备易损零件的更换，日常办公等费用，保障广播电视节目传输信号的覆盖，系统模块及功能的改进，确保系统运行安全稳定、</w:t>
            </w:r>
          </w:p>
        </w:tc>
      </w:tr>
      <w:tr>
        <w:trPr>
          <w:trHeight w:val="375" w:hRule="atLeast"/>
        </w:trPr>
        <w:tc>
          <w:tcPr>
            <w:tcW w:w="95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5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一级指标</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二级指标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三级指标</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指标性质</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指标方向</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年度指标值</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实际完成值</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计量单位</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偏差原因分析及改进措施</w:t>
            </w:r>
          </w:p>
        </w:tc>
      </w:tr>
      <w:tr>
        <w:trPr>
          <w:trHeight w:val="840" w:hRule="atLeast"/>
        </w:trPr>
        <w:tc>
          <w:tcPr>
            <w:tcW w:w="95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产出指标</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数量指标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系统日常维护次数</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次</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办公用品购置次数</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批次</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质量指标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系统维护工作验收合格率</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办公用品的合格率</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时效指标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系统日常维护工作完成及时率</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办公用品购置的及时率</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成本指标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系统日常维护成本</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4000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300.00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元</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次</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办公用品购置成本</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5000</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4500.00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元</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次</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效益指标</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社会效益指标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提升松山区委区政府的公信力</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63"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有效提升</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有效提升</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可持续影响指标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提升通讯网络安全防护能力</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63"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有效提升</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有效提升</w:t>
            </w:r>
          </w:p>
        </w:tc>
        <w:tc>
          <w:tcPr>
            <w:tcW w:w="77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5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5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满意度指标</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服务对象满意度指标</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运行维护人员的满意度</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95</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98.00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7458" w:type="dxa"/>
            <w:gridSpan w:val="9"/>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总分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bl>
    <w:p>
      <w:pPr>
        <w:widowControl/>
        <w:numPr>
          <w:ilvl w:val="0"/>
          <w:numId w:val="2"/>
        </w:numPr>
        <w:spacing w:before="240" w:after="240"/>
        <w:ind w:firstLine="48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新媒体运行维护费</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6.5</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6.5</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100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eastAsia="zh-CN"/>
        </w:rPr>
        <w:t>年初预</w:t>
      </w:r>
      <w:r>
        <w:rPr>
          <w:rFonts w:hint="eastAsia" w:ascii="仿宋_GB2312" w:hAnsi="仿宋_GB2312" w:eastAsia="仿宋_GB2312" w:cs="仿宋_GB2312"/>
          <w:color w:val="000000"/>
          <w:kern w:val="0"/>
          <w:sz w:val="27"/>
          <w:szCs w:val="27"/>
          <w:lang w:val="en-US" w:eastAsia="zh-CN"/>
        </w:rPr>
        <w:t>算数为10万元，因财政资金支付能力有限，年度调减3.5万元，全年预算数为6.5万元。项目产出指标中的数量指标、质量等各指标均已完成。</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eastAsia="zh-CN"/>
        </w:rPr>
        <w:t>因财政资金支付能力有限，所以有部分费用未支付，成为单位欠款</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eastAsia="zh-CN"/>
        </w:rPr>
        <w:t>对项目资源进行细致规划和调研，压缩开支，以确保项目的成功率和顺利实施</w:t>
      </w:r>
      <w:r>
        <w:rPr>
          <w:rFonts w:ascii="仿宋_GB2312" w:hAnsi="仿宋_GB2312" w:eastAsia="仿宋_GB2312" w:cs="仿宋_GB2312"/>
          <w:color w:val="000000"/>
          <w:kern w:val="0"/>
          <w:sz w:val="27"/>
          <w:szCs w:val="27"/>
        </w:rPr>
        <w:t>。</w:t>
      </w:r>
    </w:p>
    <w:tbl>
      <w:tblPr>
        <w:tblW w:w="99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
        <w:gridCol w:w="974"/>
        <w:gridCol w:w="802"/>
        <w:gridCol w:w="918"/>
        <w:gridCol w:w="673"/>
        <w:gridCol w:w="673"/>
        <w:gridCol w:w="740"/>
        <w:gridCol w:w="903"/>
        <w:gridCol w:w="779"/>
        <w:gridCol w:w="740"/>
        <w:gridCol w:w="1175"/>
        <w:gridCol w:w="598"/>
      </w:tblGrid>
      <w:tr>
        <w:trPr>
          <w:trHeight w:val="960" w:hRule="atLeast"/>
        </w:trPr>
        <w:tc>
          <w:tcPr>
            <w:tcW w:w="9949" w:type="dxa"/>
            <w:gridSpan w:val="1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b/>
                <w:kern w:val="2"/>
                <w:sz w:val="21"/>
                <w:szCs w:val="22"/>
                <w:lang w:val="en-US"/>
              </w:rPr>
            </w:pPr>
            <w:r>
              <w:rPr>
                <w:rFonts w:hint="eastAsia" w:ascii="Calibri" w:hAnsi="Calibri" w:eastAsia="宋体" w:cs="宋体"/>
                <w:b/>
                <w:kern w:val="2"/>
                <w:sz w:val="21"/>
                <w:szCs w:val="22"/>
                <w:lang w:val="en-US" w:eastAsia="zh-CN"/>
              </w:rPr>
              <w:t>项目支出绩效自评表</w:t>
            </w:r>
            <w:r>
              <w:rPr>
                <w:rFonts w:hint="default" w:ascii="Calibri" w:hAnsi="Calibri" w:eastAsia="宋体" w:cs="Times New Roman"/>
                <w:b/>
                <w:kern w:val="2"/>
                <w:sz w:val="21"/>
                <w:szCs w:val="22"/>
                <w:lang w:val="en-US" w:eastAsia="zh-CN"/>
              </w:rPr>
              <w:br/>
            </w:r>
            <w:r>
              <w:rPr>
                <w:rFonts w:hint="default" w:ascii="Calibri" w:hAnsi="Calibri" w:eastAsia="宋体" w:cs="Times New Roman"/>
                <w:b/>
                <w:kern w:val="2"/>
                <w:sz w:val="21"/>
                <w:szCs w:val="22"/>
                <w:lang w:val="en-US" w:eastAsia="zh-CN"/>
              </w:rPr>
              <w:t>(2024</w:t>
            </w:r>
            <w:r>
              <w:rPr>
                <w:rFonts w:hint="eastAsia" w:ascii="Calibri" w:hAnsi="Calibri" w:eastAsia="宋体" w:cs="宋体"/>
                <w:b/>
                <w:kern w:val="2"/>
                <w:sz w:val="21"/>
                <w:szCs w:val="22"/>
                <w:lang w:val="en-US" w:eastAsia="zh-CN"/>
              </w:rPr>
              <w:t>年度）</w:t>
            </w:r>
          </w:p>
        </w:tc>
      </w:tr>
      <w:tr>
        <w:trPr>
          <w:trHeight w:val="375" w:hRule="atLeast"/>
        </w:trPr>
        <w:tc>
          <w:tcPr>
            <w:tcW w:w="194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项目名称</w:t>
            </w:r>
          </w:p>
        </w:tc>
        <w:tc>
          <w:tcPr>
            <w:tcW w:w="8001" w:type="dxa"/>
            <w:gridSpan w:val="10"/>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新媒体运行经费</w:t>
            </w:r>
          </w:p>
        </w:tc>
      </w:tr>
      <w:tr>
        <w:trPr>
          <w:trHeight w:val="375" w:hRule="atLeast"/>
        </w:trPr>
        <w:tc>
          <w:tcPr>
            <w:tcW w:w="194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主管部门</w:t>
            </w:r>
          </w:p>
        </w:tc>
        <w:tc>
          <w:tcPr>
            <w:tcW w:w="3066"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实施单位</w:t>
            </w:r>
          </w:p>
        </w:tc>
        <w:tc>
          <w:tcPr>
            <w:tcW w:w="3292"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r>
      <w:tr>
        <w:trPr>
          <w:trHeight w:val="375" w:hRule="atLeast"/>
        </w:trPr>
        <w:tc>
          <w:tcPr>
            <w:tcW w:w="194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项目资金</w:t>
            </w:r>
            <w:r>
              <w:rPr>
                <w:rFonts w:hint="default" w:ascii="Calibri" w:hAnsi="Calibri" w:eastAsia="宋体" w:cs="Times New Roman"/>
                <w:kern w:val="2"/>
                <w:sz w:val="21"/>
                <w:szCs w:val="22"/>
                <w:lang w:val="en-US" w:eastAsia="zh-CN"/>
              </w:rPr>
              <w:br/>
            </w:r>
            <w:r>
              <w:rPr>
                <w:rFonts w:hint="eastAsia" w:ascii="Calibri" w:hAnsi="Calibri" w:eastAsia="宋体" w:cs="宋体"/>
                <w:kern w:val="2"/>
                <w:sz w:val="21"/>
                <w:szCs w:val="22"/>
                <w:lang w:val="en-US" w:eastAsia="zh-CN"/>
              </w:rPr>
              <w:t>（万元）</w:t>
            </w:r>
          </w:p>
        </w:tc>
        <w:tc>
          <w:tcPr>
            <w:tcW w:w="80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年初预算数</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全年预算数</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全年执行数</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915"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执行率（</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r>
      <w:tr>
        <w:trPr>
          <w:trHeight w:val="375" w:hRule="atLeast"/>
        </w:trPr>
        <w:tc>
          <w:tcPr>
            <w:tcW w:w="19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年度资金总额</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6.5</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6.5</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915"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r>
      <w:tr>
        <w:trPr>
          <w:trHeight w:val="375" w:hRule="atLeast"/>
        </w:trPr>
        <w:tc>
          <w:tcPr>
            <w:tcW w:w="19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其中：财政拨款</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6.5</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6.5</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915"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上年结转资金</w:t>
            </w:r>
          </w:p>
        </w:tc>
        <w:tc>
          <w:tcPr>
            <w:tcW w:w="91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915"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其他资金</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34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64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915"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4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年度总体目标</w:t>
            </w:r>
          </w:p>
        </w:tc>
        <w:tc>
          <w:tcPr>
            <w:tcW w:w="3806"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预期目标</w:t>
            </w:r>
          </w:p>
        </w:tc>
        <w:tc>
          <w:tcPr>
            <w:tcW w:w="4195"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实际完成情况</w:t>
            </w:r>
          </w:p>
        </w:tc>
      </w:tr>
      <w:tr>
        <w:trPr>
          <w:trHeight w:val="1110" w:hRule="atLeast"/>
        </w:trPr>
        <w:tc>
          <w:tcPr>
            <w:tcW w:w="194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3806"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新媒体预算支出</w:t>
            </w:r>
            <w:r>
              <w:rPr>
                <w:rFonts w:hint="default" w:ascii="Calibri" w:hAnsi="Calibri" w:eastAsia="宋体" w:cs="Times New Roman"/>
                <w:kern w:val="2"/>
                <w:sz w:val="21"/>
                <w:szCs w:val="22"/>
                <w:lang w:val="en-US" w:eastAsia="zh-CN"/>
              </w:rPr>
              <w:t>10</w:t>
            </w:r>
            <w:r>
              <w:rPr>
                <w:rFonts w:hint="eastAsia" w:ascii="Calibri" w:hAnsi="Calibri" w:eastAsia="宋体" w:cs="宋体"/>
                <w:kern w:val="2"/>
                <w:sz w:val="21"/>
                <w:szCs w:val="22"/>
                <w:lang w:val="en-US" w:eastAsia="zh-CN"/>
              </w:rPr>
              <w:t>万元，主要用于发展新媒体业务，拓宽舆论宣传阵地和宣传渠道，逐步实现媒体融合发展；组织开展新媒体作品的策划，采制、审查、编排和设备维护更新工作，注重情感共鸣，价值引领和信息传递；组织相关工作人员的业务培训和交流，提高工作人员的业务素质和播报节目的质量，提升松山区委、区政府的公信力。</w:t>
            </w:r>
          </w:p>
        </w:tc>
        <w:tc>
          <w:tcPr>
            <w:tcW w:w="4195"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left"/>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发展新媒体业务，拓宽舆论宣传阵地和宣传渠道，逐步实现媒体融合发展；组织开展新媒体作品的策划，采制、审查、编排和设备维护更新工作，注重情感共鸣，价值引领和信息传递；组织相关工作人员的业务培训和交流，提高工作人员的业务素质和播报节目的质量，提升松山区委、区政府的公信力。</w:t>
            </w:r>
          </w:p>
        </w:tc>
      </w:tr>
      <w:tr>
        <w:trPr>
          <w:trHeight w:val="375"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一级指标</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二级指标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三级指标</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指标性质</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指标方向</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年度指标值</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实际完成值</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计量单位</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偏差原因分析及改进措施</w:t>
            </w:r>
          </w:p>
        </w:tc>
      </w:tr>
      <w:tr>
        <w:trPr>
          <w:trHeight w:val="840"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产出指标</w:t>
            </w:r>
          </w:p>
        </w:tc>
        <w:tc>
          <w:tcPr>
            <w:tcW w:w="80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数量指标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购置办公用品的批次</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新媒体设备维护次数</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3.00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质量指标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购置办公用品质量合格率</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设备维修维护合格率</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时效指标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购置办公用品及时率</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设备维修及时率</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成本指标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办公用品购置成本</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6</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万元</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设备维修维护成本</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万元</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效益指标</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社会效益指标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提升松山区委区政府公信力</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73"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显著提升</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显著提升</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可持续影响指标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持续提高政府沟通解决群众问题的能力</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73"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w:t>
            </w:r>
          </w:p>
        </w:tc>
        <w:tc>
          <w:tcPr>
            <w:tcW w:w="779"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74"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满意度指标</w:t>
            </w:r>
          </w:p>
        </w:tc>
        <w:tc>
          <w:tcPr>
            <w:tcW w:w="8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服务对象满意度指标</w:t>
            </w:r>
          </w:p>
        </w:tc>
        <w:tc>
          <w:tcPr>
            <w:tcW w:w="91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工作人员满意度</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95</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97.00</w:t>
            </w:r>
          </w:p>
        </w:tc>
        <w:tc>
          <w:tcPr>
            <w:tcW w:w="77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7436" w:type="dxa"/>
            <w:gridSpan w:val="9"/>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总分</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bl>
    <w:p>
      <w:pPr>
        <w:widowControl/>
        <w:numPr>
          <w:numId w:val="0"/>
        </w:numPr>
        <w:spacing w:before="240" w:after="240"/>
        <w:ind w:firstLine="54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4.年中央支出地方公共文化服务体系建设补助资金</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90</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17.6</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因财政资金支付能力有限，项目已实施但资金未支付。项目产出指标中的数量指标、质量等各指标均已完成。</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eastAsia="zh-CN"/>
        </w:rPr>
        <w:t>因财政资金支付能力有限，所以费用未支付，成为单位欠款</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eastAsia="zh-CN"/>
        </w:rPr>
        <w:t>对项目资源进行细致规划和调研，压缩开支，以确保项目的成功率和顺利实施</w:t>
      </w:r>
      <w:r>
        <w:rPr>
          <w:rFonts w:ascii="仿宋_GB2312" w:hAnsi="仿宋_GB2312" w:eastAsia="仿宋_GB2312" w:cs="仿宋_GB2312"/>
          <w:color w:val="000000"/>
          <w:kern w:val="0"/>
          <w:sz w:val="27"/>
          <w:szCs w:val="27"/>
        </w:rPr>
        <w:t>。</w:t>
      </w:r>
    </w:p>
    <w:tbl>
      <w:tblPr>
        <w:tblW w:w="99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969"/>
        <w:gridCol w:w="800"/>
        <w:gridCol w:w="1012"/>
        <w:gridCol w:w="671"/>
        <w:gridCol w:w="671"/>
        <w:gridCol w:w="738"/>
        <w:gridCol w:w="902"/>
        <w:gridCol w:w="777"/>
        <w:gridCol w:w="738"/>
        <w:gridCol w:w="1106"/>
        <w:gridCol w:w="598"/>
      </w:tblGrid>
      <w:tr>
        <w:trPr>
          <w:trHeight w:val="960" w:hRule="atLeast"/>
        </w:trPr>
        <w:tc>
          <w:tcPr>
            <w:tcW w:w="9951" w:type="dxa"/>
            <w:gridSpan w:val="1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b/>
                <w:kern w:val="2"/>
                <w:sz w:val="21"/>
                <w:szCs w:val="22"/>
                <w:lang w:val="en-US"/>
              </w:rPr>
            </w:pPr>
            <w:r>
              <w:rPr>
                <w:rFonts w:hint="eastAsia" w:ascii="Calibri" w:hAnsi="Calibri" w:eastAsia="宋体" w:cs="宋体"/>
                <w:b/>
                <w:kern w:val="2"/>
                <w:sz w:val="21"/>
                <w:szCs w:val="22"/>
                <w:lang w:val="en-US" w:eastAsia="zh-CN"/>
              </w:rPr>
              <w:t>项目支出绩效自评表</w:t>
            </w:r>
            <w:r>
              <w:rPr>
                <w:rFonts w:hint="default" w:ascii="Calibri" w:hAnsi="Calibri" w:eastAsia="宋体" w:cs="Times New Roman"/>
                <w:b/>
                <w:kern w:val="2"/>
                <w:sz w:val="21"/>
                <w:szCs w:val="22"/>
                <w:lang w:val="en-US" w:eastAsia="zh-CN"/>
              </w:rPr>
              <w:br/>
            </w:r>
            <w:r>
              <w:rPr>
                <w:rFonts w:hint="default" w:ascii="Calibri" w:hAnsi="Calibri" w:eastAsia="宋体" w:cs="Times New Roman"/>
                <w:b/>
                <w:kern w:val="2"/>
                <w:sz w:val="21"/>
                <w:szCs w:val="22"/>
                <w:lang w:val="en-US" w:eastAsia="zh-CN"/>
              </w:rPr>
              <w:t>(2024</w:t>
            </w:r>
            <w:r>
              <w:rPr>
                <w:rFonts w:hint="eastAsia" w:ascii="Calibri" w:hAnsi="Calibri" w:eastAsia="宋体" w:cs="宋体"/>
                <w:b/>
                <w:kern w:val="2"/>
                <w:sz w:val="21"/>
                <w:szCs w:val="22"/>
                <w:lang w:val="en-US" w:eastAsia="zh-CN"/>
              </w:rPr>
              <w:t>年度）</w:t>
            </w:r>
          </w:p>
        </w:tc>
      </w:tr>
      <w:tr>
        <w:trPr>
          <w:trHeight w:val="375" w:hRule="atLeast"/>
        </w:trPr>
        <w:tc>
          <w:tcPr>
            <w:tcW w:w="19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项目名称</w:t>
            </w:r>
          </w:p>
        </w:tc>
        <w:tc>
          <w:tcPr>
            <w:tcW w:w="8013" w:type="dxa"/>
            <w:gridSpan w:val="10"/>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提前下达</w:t>
            </w:r>
            <w:r>
              <w:rPr>
                <w:rFonts w:hint="default" w:ascii="Calibri" w:hAnsi="Calibri" w:eastAsia="宋体" w:cs="Times New Roman"/>
                <w:kern w:val="2"/>
                <w:sz w:val="21"/>
                <w:szCs w:val="22"/>
                <w:lang w:val="en-US" w:eastAsia="zh-CN"/>
              </w:rPr>
              <w:t>2024</w:t>
            </w:r>
            <w:r>
              <w:rPr>
                <w:rFonts w:hint="eastAsia" w:ascii="Calibri" w:hAnsi="Calibri" w:eastAsia="宋体" w:cs="宋体"/>
                <w:kern w:val="2"/>
                <w:sz w:val="21"/>
                <w:szCs w:val="22"/>
                <w:lang w:val="en-US" w:eastAsia="zh-CN"/>
              </w:rPr>
              <w:t>年中央支出地方公共文化服务体系建设补助资金指科﹝</w:t>
            </w:r>
            <w:r>
              <w:rPr>
                <w:rFonts w:hint="default" w:ascii="Calibri" w:hAnsi="Calibri" w:eastAsia="宋体" w:cs="Times New Roman"/>
                <w:kern w:val="2"/>
                <w:sz w:val="21"/>
                <w:szCs w:val="22"/>
                <w:lang w:val="en-US" w:eastAsia="zh-CN"/>
              </w:rPr>
              <w:t>2023</w:t>
            </w:r>
            <w:r>
              <w:rPr>
                <w:rFonts w:hint="eastAsia" w:ascii="Calibri" w:hAnsi="Calibri" w:eastAsia="宋体" w:cs="宋体"/>
                <w:kern w:val="2"/>
                <w:sz w:val="21"/>
                <w:szCs w:val="22"/>
                <w:lang w:val="en-US" w:eastAsia="zh-CN"/>
              </w:rPr>
              <w:t>﹞</w:t>
            </w:r>
            <w:r>
              <w:rPr>
                <w:rFonts w:hint="default" w:ascii="Calibri" w:hAnsi="Calibri" w:eastAsia="宋体" w:cs="Times New Roman"/>
                <w:kern w:val="2"/>
                <w:sz w:val="21"/>
                <w:szCs w:val="22"/>
                <w:lang w:val="en-US" w:eastAsia="zh-CN"/>
              </w:rPr>
              <w:t>1088</w:t>
            </w:r>
            <w:r>
              <w:rPr>
                <w:rFonts w:hint="eastAsia" w:ascii="Calibri" w:hAnsi="Calibri" w:eastAsia="宋体" w:cs="宋体"/>
                <w:kern w:val="2"/>
                <w:sz w:val="21"/>
                <w:szCs w:val="22"/>
                <w:lang w:val="en-US" w:eastAsia="zh-CN"/>
              </w:rPr>
              <w:t>号</w:t>
            </w:r>
          </w:p>
        </w:tc>
      </w:tr>
      <w:tr>
        <w:trPr>
          <w:trHeight w:val="375" w:hRule="atLeast"/>
        </w:trPr>
        <w:tc>
          <w:tcPr>
            <w:tcW w:w="19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主管部门</w:t>
            </w:r>
          </w:p>
        </w:tc>
        <w:tc>
          <w:tcPr>
            <w:tcW w:w="3154"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实施单位</w:t>
            </w:r>
          </w:p>
        </w:tc>
        <w:tc>
          <w:tcPr>
            <w:tcW w:w="3219"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r>
      <w:tr>
        <w:trPr>
          <w:trHeight w:val="375" w:hRule="atLeast"/>
        </w:trPr>
        <w:tc>
          <w:tcPr>
            <w:tcW w:w="19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项目资金</w:t>
            </w:r>
            <w:r>
              <w:rPr>
                <w:rFonts w:hint="default" w:ascii="Calibri" w:hAnsi="Calibri" w:eastAsia="宋体" w:cs="Times New Roman"/>
                <w:kern w:val="2"/>
                <w:sz w:val="21"/>
                <w:szCs w:val="22"/>
                <w:lang w:val="en-US" w:eastAsia="zh-CN"/>
              </w:rPr>
              <w:br/>
            </w:r>
            <w:r>
              <w:rPr>
                <w:rFonts w:hint="eastAsia" w:ascii="Calibri" w:hAnsi="Calibri" w:eastAsia="宋体" w:cs="宋体"/>
                <w:kern w:val="2"/>
                <w:sz w:val="21"/>
                <w:szCs w:val="22"/>
                <w:lang w:val="en-US" w:eastAsia="zh-CN"/>
              </w:rPr>
              <w:t>（万元）</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年初预算数</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全年预算数</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全年执行数</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执行率（</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年度资金总额</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17.6</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17.6</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其中：财政拨款</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17.6</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17.6</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上年结转资金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其他资金</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342"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年度总体目标</w:t>
            </w:r>
          </w:p>
        </w:tc>
        <w:tc>
          <w:tcPr>
            <w:tcW w:w="3892"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预期目标</w:t>
            </w:r>
          </w:p>
        </w:tc>
        <w:tc>
          <w:tcPr>
            <w:tcW w:w="4121"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实际完成情况</w:t>
            </w:r>
          </w:p>
        </w:tc>
      </w:tr>
      <w:tr>
        <w:trPr>
          <w:trHeight w:val="1110"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3892"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负责中央广播电视无线覆盖（数字）运行维护工作，包括初头朗广播电视站和牤牛营子广播电视站，每个站所共</w:t>
            </w:r>
            <w:r>
              <w:rPr>
                <w:rFonts w:hint="default" w:ascii="Calibri" w:hAnsi="Calibri" w:eastAsia="宋体" w:cs="Times New Roman"/>
                <w:kern w:val="2"/>
                <w:sz w:val="21"/>
                <w:szCs w:val="22"/>
                <w:lang w:val="en-US" w:eastAsia="zh-CN"/>
              </w:rPr>
              <w:t>12</w:t>
            </w:r>
            <w:r>
              <w:rPr>
                <w:rFonts w:hint="eastAsia" w:ascii="Calibri" w:hAnsi="Calibri" w:eastAsia="宋体" w:cs="宋体"/>
                <w:kern w:val="2"/>
                <w:sz w:val="21"/>
                <w:szCs w:val="22"/>
                <w:lang w:val="en-US" w:eastAsia="zh-CN"/>
              </w:rPr>
              <w:t>套节目。</w:t>
            </w:r>
          </w:p>
        </w:tc>
        <w:tc>
          <w:tcPr>
            <w:tcW w:w="4121"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完成了中央广播电视无线覆盖（数字）运行维护工作，包括初头朗广播电视站和牤牛营子广播电视站，每个站所共</w:t>
            </w:r>
            <w:r>
              <w:rPr>
                <w:rFonts w:hint="default" w:ascii="Calibri" w:hAnsi="Calibri" w:eastAsia="宋体" w:cs="Times New Roman"/>
                <w:kern w:val="2"/>
                <w:sz w:val="21"/>
                <w:szCs w:val="22"/>
                <w:lang w:val="en-US" w:eastAsia="zh-CN"/>
              </w:rPr>
              <w:t>12</w:t>
            </w:r>
            <w:r>
              <w:rPr>
                <w:rFonts w:hint="eastAsia" w:ascii="Calibri" w:hAnsi="Calibri" w:eastAsia="宋体" w:cs="宋体"/>
                <w:kern w:val="2"/>
                <w:sz w:val="21"/>
                <w:szCs w:val="22"/>
                <w:lang w:val="en-US" w:eastAsia="zh-CN"/>
              </w:rPr>
              <w:t>套节目。</w:t>
            </w:r>
          </w:p>
        </w:tc>
      </w:tr>
      <w:tr>
        <w:trPr>
          <w:trHeight w:val="375" w:hRule="atLeast"/>
        </w:trPr>
        <w:tc>
          <w:tcPr>
            <w:tcW w:w="96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一级指标</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二级指标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三级指标</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指标性质</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指标方向</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年度指标值</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实际完成值</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计量单位</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偏差原因分析及改进措施</w:t>
            </w:r>
          </w:p>
        </w:tc>
      </w:tr>
      <w:tr>
        <w:trPr>
          <w:trHeight w:val="840" w:hRule="atLeast"/>
        </w:trPr>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产出指标</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数量指标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维护运行发射机数量</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台</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中央广播电视无线覆盖节目数量</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12</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12.00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套</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质量指标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发射机维护运行合格率</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覆盖节目接收合格率</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时效指标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发射台设备等维修及时率</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无线信号覆盖及时率</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成本指标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发射台维护运行费用</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4.4</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4.40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万元</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台</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电费成本</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反向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小于等于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0.9</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0.80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元</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度</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效益指标</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社会效益指标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保障发射台正常运行</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7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优</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优</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可持续影响指标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设备设施管养机制健全性</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71"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优</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优</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满意度指标</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服务对象满意度指标</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工作人员满意度</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1"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95</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7509" w:type="dxa"/>
            <w:gridSpan w:val="9"/>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总分</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90.00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bl>
    <w:p>
      <w:pPr>
        <w:widowControl/>
        <w:numPr>
          <w:ilvl w:val="0"/>
          <w:numId w:val="3"/>
        </w:numPr>
        <w:spacing w:before="240" w:after="240"/>
        <w:ind w:firstLine="540" w:firstLineChars="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中央支持地方公共文化服务体系建设补助资金</w:t>
      </w:r>
      <w:r>
        <w:rPr>
          <w:rFonts w:ascii="仿宋_GB2312" w:hAnsi="仿宋_GB2312" w:eastAsia="仿宋_GB2312" w:cs="仿宋_GB2312"/>
          <w:color w:val="000000"/>
          <w:kern w:val="0"/>
          <w:sz w:val="27"/>
          <w:szCs w:val="27"/>
        </w:rPr>
        <w:t>项目自评综述：根据年初设定的绩效目标，项目自评得分</w:t>
      </w:r>
      <w:r>
        <w:rPr>
          <w:rFonts w:hint="eastAsia" w:ascii="仿宋_GB2312" w:hAnsi="仿宋_GB2312" w:eastAsia="仿宋_GB2312" w:cs="仿宋_GB2312"/>
          <w:color w:val="000000"/>
          <w:kern w:val="0"/>
          <w:sz w:val="27"/>
          <w:szCs w:val="27"/>
          <w:lang w:val="en-US" w:eastAsia="zh-CN"/>
        </w:rPr>
        <w:t>85.5</w:t>
      </w:r>
      <w:r>
        <w:rPr>
          <w:rFonts w:ascii="仿宋_GB2312" w:hAnsi="仿宋_GB2312" w:eastAsia="仿宋_GB2312" w:cs="仿宋_GB2312"/>
          <w:color w:val="000000"/>
          <w:kern w:val="0"/>
          <w:sz w:val="27"/>
          <w:szCs w:val="27"/>
        </w:rPr>
        <w:t>分。全年预算数为</w:t>
      </w:r>
      <w:r>
        <w:rPr>
          <w:rFonts w:hint="eastAsia" w:ascii="仿宋_GB2312" w:hAnsi="仿宋_GB2312" w:eastAsia="仿宋_GB2312" w:cs="仿宋_GB2312"/>
          <w:color w:val="000000"/>
          <w:kern w:val="0"/>
          <w:sz w:val="27"/>
          <w:szCs w:val="27"/>
          <w:lang w:val="en-US" w:eastAsia="zh-CN"/>
        </w:rPr>
        <w:t>58.56</w:t>
      </w:r>
      <w:r>
        <w:rPr>
          <w:rFonts w:ascii="仿宋_GB2312" w:hAnsi="仿宋_GB2312" w:eastAsia="仿宋_GB2312" w:cs="仿宋_GB2312"/>
          <w:color w:val="000000"/>
          <w:kern w:val="0"/>
          <w:sz w:val="27"/>
          <w:szCs w:val="27"/>
        </w:rPr>
        <w:t>万元，执行数为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%。项目绩效目标完成情况：</w:t>
      </w:r>
      <w:r>
        <w:rPr>
          <w:rFonts w:hint="eastAsia" w:ascii="仿宋_GB2312" w:hAnsi="仿宋_GB2312" w:eastAsia="仿宋_GB2312" w:cs="仿宋_GB2312"/>
          <w:color w:val="000000"/>
          <w:kern w:val="0"/>
          <w:sz w:val="27"/>
          <w:szCs w:val="27"/>
          <w:lang w:val="en-US" w:eastAsia="zh-CN"/>
        </w:rPr>
        <w:t>因财政资金支付能力有限，项目已实施但资金未支付。项目产出指标中的数量指标、质量等各指标均已完成。</w:t>
      </w:r>
      <w:r>
        <w:rPr>
          <w:rFonts w:ascii="仿宋_GB2312" w:hAnsi="仿宋_GB2312" w:eastAsia="仿宋_GB2312" w:cs="仿宋_GB2312"/>
          <w:color w:val="000000"/>
          <w:kern w:val="0"/>
          <w:sz w:val="27"/>
          <w:szCs w:val="27"/>
        </w:rPr>
        <w:t>发现的主要问题及原因：</w:t>
      </w:r>
      <w:r>
        <w:rPr>
          <w:rFonts w:hint="eastAsia" w:ascii="仿宋_GB2312" w:hAnsi="仿宋_GB2312" w:eastAsia="仿宋_GB2312" w:cs="仿宋_GB2312"/>
          <w:color w:val="000000"/>
          <w:kern w:val="0"/>
          <w:sz w:val="27"/>
          <w:szCs w:val="27"/>
          <w:lang w:eastAsia="zh-CN"/>
        </w:rPr>
        <w:t>因财政资金支付能力有限，所以费用未支付，成为单位欠款</w:t>
      </w:r>
      <w:r>
        <w:rPr>
          <w:rFonts w:ascii="仿宋_GB2312" w:hAnsi="仿宋_GB2312" w:eastAsia="仿宋_GB2312" w:cs="仿宋_GB2312"/>
          <w:color w:val="000000"/>
          <w:kern w:val="0"/>
          <w:sz w:val="27"/>
          <w:szCs w:val="27"/>
        </w:rPr>
        <w:t>。下一步改进措施：</w:t>
      </w:r>
      <w:r>
        <w:rPr>
          <w:rFonts w:hint="eastAsia" w:ascii="仿宋_GB2312" w:hAnsi="仿宋_GB2312" w:eastAsia="仿宋_GB2312" w:cs="仿宋_GB2312"/>
          <w:color w:val="000000"/>
          <w:kern w:val="0"/>
          <w:sz w:val="27"/>
          <w:szCs w:val="27"/>
          <w:lang w:eastAsia="zh-CN"/>
        </w:rPr>
        <w:t>对项目资源进行细致规划和调研，压缩开支，以确保项目的成功率和顺利实施</w:t>
      </w:r>
      <w:r>
        <w:rPr>
          <w:rFonts w:ascii="仿宋_GB2312" w:hAnsi="仿宋_GB2312" w:eastAsia="仿宋_GB2312" w:cs="仿宋_GB2312"/>
          <w:color w:val="000000"/>
          <w:kern w:val="0"/>
          <w:sz w:val="27"/>
          <w:szCs w:val="27"/>
        </w:rPr>
        <w:t>。</w:t>
      </w:r>
    </w:p>
    <w:tbl>
      <w:tblPr>
        <w:tblW w:w="99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9"/>
        <w:gridCol w:w="969"/>
        <w:gridCol w:w="800"/>
        <w:gridCol w:w="912"/>
        <w:gridCol w:w="672"/>
        <w:gridCol w:w="672"/>
        <w:gridCol w:w="836"/>
        <w:gridCol w:w="902"/>
        <w:gridCol w:w="777"/>
        <w:gridCol w:w="738"/>
        <w:gridCol w:w="1106"/>
        <w:gridCol w:w="598"/>
      </w:tblGrid>
      <w:tr>
        <w:trPr>
          <w:trHeight w:val="960" w:hRule="atLeast"/>
        </w:trPr>
        <w:tc>
          <w:tcPr>
            <w:tcW w:w="9951" w:type="dxa"/>
            <w:gridSpan w:val="1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b/>
                <w:kern w:val="2"/>
                <w:sz w:val="21"/>
                <w:szCs w:val="22"/>
                <w:lang w:val="en-US"/>
              </w:rPr>
            </w:pPr>
            <w:r>
              <w:rPr>
                <w:rFonts w:hint="eastAsia" w:ascii="Calibri" w:hAnsi="Calibri" w:eastAsia="宋体" w:cs="宋体"/>
                <w:b/>
                <w:kern w:val="2"/>
                <w:sz w:val="21"/>
                <w:szCs w:val="22"/>
                <w:lang w:val="en-US" w:eastAsia="zh-CN"/>
              </w:rPr>
              <w:t>项目支出绩效自评表</w:t>
            </w:r>
            <w:r>
              <w:rPr>
                <w:rFonts w:hint="default" w:ascii="Calibri" w:hAnsi="Calibri" w:eastAsia="宋体" w:cs="Times New Roman"/>
                <w:b/>
                <w:kern w:val="2"/>
                <w:sz w:val="21"/>
                <w:szCs w:val="22"/>
                <w:lang w:val="en-US" w:eastAsia="zh-CN"/>
              </w:rPr>
              <w:br/>
            </w:r>
            <w:r>
              <w:rPr>
                <w:rFonts w:hint="default" w:ascii="Calibri" w:hAnsi="Calibri" w:eastAsia="宋体" w:cs="Times New Roman"/>
                <w:b/>
                <w:kern w:val="2"/>
                <w:sz w:val="21"/>
                <w:szCs w:val="22"/>
                <w:lang w:val="en-US" w:eastAsia="zh-CN"/>
              </w:rPr>
              <w:t>(2024</w:t>
            </w:r>
            <w:r>
              <w:rPr>
                <w:rFonts w:hint="eastAsia" w:ascii="Calibri" w:hAnsi="Calibri" w:eastAsia="宋体" w:cs="宋体"/>
                <w:b/>
                <w:kern w:val="2"/>
                <w:sz w:val="21"/>
                <w:szCs w:val="22"/>
                <w:lang w:val="en-US" w:eastAsia="zh-CN"/>
              </w:rPr>
              <w:t>年度）</w:t>
            </w:r>
          </w:p>
        </w:tc>
      </w:tr>
      <w:tr>
        <w:trPr>
          <w:trHeight w:val="375" w:hRule="atLeast"/>
        </w:trPr>
        <w:tc>
          <w:tcPr>
            <w:tcW w:w="19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项目名称</w:t>
            </w:r>
          </w:p>
        </w:tc>
        <w:tc>
          <w:tcPr>
            <w:tcW w:w="8013" w:type="dxa"/>
            <w:gridSpan w:val="10"/>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中央支持地方公共文化服务体系建设补助资金</w:t>
            </w:r>
          </w:p>
        </w:tc>
      </w:tr>
      <w:tr>
        <w:trPr>
          <w:trHeight w:val="375" w:hRule="atLeast"/>
        </w:trPr>
        <w:tc>
          <w:tcPr>
            <w:tcW w:w="19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主管部门</w:t>
            </w:r>
          </w:p>
        </w:tc>
        <w:tc>
          <w:tcPr>
            <w:tcW w:w="3056"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实施单位</w:t>
            </w:r>
          </w:p>
        </w:tc>
        <w:tc>
          <w:tcPr>
            <w:tcW w:w="3219" w:type="dxa"/>
            <w:gridSpan w:val="4"/>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赤峰市松山区融媒体中心</w:t>
            </w:r>
          </w:p>
        </w:tc>
      </w:tr>
      <w:tr>
        <w:trPr>
          <w:trHeight w:val="375" w:hRule="atLeast"/>
        </w:trPr>
        <w:tc>
          <w:tcPr>
            <w:tcW w:w="19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项目资金</w:t>
            </w:r>
            <w:r>
              <w:rPr>
                <w:rFonts w:hint="default" w:ascii="Calibri" w:hAnsi="Calibri" w:eastAsia="宋体" w:cs="Times New Roman"/>
                <w:kern w:val="2"/>
                <w:sz w:val="21"/>
                <w:szCs w:val="22"/>
                <w:lang w:val="en-US" w:eastAsia="zh-CN"/>
              </w:rPr>
              <w:br/>
            </w:r>
            <w:r>
              <w:rPr>
                <w:rFonts w:hint="eastAsia" w:ascii="Calibri" w:hAnsi="Calibri" w:eastAsia="宋体" w:cs="宋体"/>
                <w:kern w:val="2"/>
                <w:sz w:val="21"/>
                <w:szCs w:val="22"/>
                <w:lang w:val="en-US" w:eastAsia="zh-CN"/>
              </w:rPr>
              <w:t>（万元）</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年初预算数</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全年预算数</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全年执行数</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执行率（</w:t>
            </w:r>
            <w:r>
              <w:rPr>
                <w:rFonts w:hint="default" w:ascii="Calibri" w:hAnsi="Calibri" w:eastAsia="宋体" w:cs="Times New Roman"/>
                <w:kern w:val="2"/>
                <w:sz w:val="21"/>
                <w:szCs w:val="22"/>
                <w:lang w:val="en-US" w:eastAsia="zh-CN"/>
              </w:rPr>
              <w:t>%</w:t>
            </w:r>
            <w:r>
              <w:rPr>
                <w:rFonts w:hint="eastAsia" w:ascii="Calibri" w:hAnsi="Calibri" w:eastAsia="宋体" w:cs="宋体"/>
                <w:kern w:val="2"/>
                <w:sz w:val="21"/>
                <w:szCs w:val="22"/>
                <w:lang w:val="en-US" w:eastAsia="zh-CN"/>
              </w:rPr>
              <w:t>）</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年度资金总额</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58.56</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其中：财政拨款</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58.56</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上年结转资金</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其他资金</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1844"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r>
      <w:tr>
        <w:trPr>
          <w:trHeight w:val="375" w:hRule="atLeast"/>
        </w:trPr>
        <w:tc>
          <w:tcPr>
            <w:tcW w:w="19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年度总体目标</w:t>
            </w:r>
          </w:p>
        </w:tc>
        <w:tc>
          <w:tcPr>
            <w:tcW w:w="3892"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预期目标</w:t>
            </w:r>
          </w:p>
        </w:tc>
        <w:tc>
          <w:tcPr>
            <w:tcW w:w="4121"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实际完成情况</w:t>
            </w:r>
          </w:p>
        </w:tc>
      </w:tr>
      <w:tr>
        <w:trPr>
          <w:trHeight w:val="1110" w:hRule="atLeast"/>
        </w:trPr>
        <w:tc>
          <w:tcPr>
            <w:tcW w:w="193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3892"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在农村牧区放映优秀题材的电影，保障农村牧区居民能够看到电影，广泛宣传党的方针、政策，让观众从不同的视角看到世界，了解党和国家的强大。</w:t>
            </w:r>
          </w:p>
        </w:tc>
        <w:tc>
          <w:tcPr>
            <w:tcW w:w="4121"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本年度完成松山区全域内</w:t>
            </w:r>
            <w:r>
              <w:rPr>
                <w:rFonts w:hint="default" w:ascii="Calibri" w:hAnsi="Calibri" w:eastAsia="宋体" w:cs="Times New Roman"/>
                <w:kern w:val="2"/>
                <w:sz w:val="21"/>
                <w:szCs w:val="22"/>
                <w:lang w:val="en-US" w:eastAsia="zh-CN"/>
              </w:rPr>
              <w:t>14</w:t>
            </w:r>
            <w:r>
              <w:rPr>
                <w:rFonts w:hint="eastAsia" w:ascii="Calibri" w:hAnsi="Calibri" w:eastAsia="宋体" w:cs="宋体"/>
                <w:kern w:val="2"/>
                <w:sz w:val="21"/>
                <w:szCs w:val="22"/>
                <w:lang w:val="en-US" w:eastAsia="zh-CN"/>
              </w:rPr>
              <w:t>个农村牧区乡镇</w:t>
            </w:r>
            <w:r>
              <w:rPr>
                <w:rFonts w:hint="default" w:ascii="Calibri" w:hAnsi="Calibri" w:eastAsia="宋体" w:cs="Times New Roman"/>
                <w:kern w:val="2"/>
                <w:sz w:val="21"/>
                <w:szCs w:val="22"/>
                <w:lang w:val="en-US" w:eastAsia="zh-CN"/>
              </w:rPr>
              <w:t>244</w:t>
            </w:r>
            <w:r>
              <w:rPr>
                <w:rFonts w:hint="eastAsia" w:ascii="Calibri" w:hAnsi="Calibri" w:eastAsia="宋体" w:cs="宋体"/>
                <w:kern w:val="2"/>
                <w:sz w:val="21"/>
                <w:szCs w:val="22"/>
                <w:lang w:val="en-US" w:eastAsia="zh-CN"/>
              </w:rPr>
              <w:t>个行政村的公益电影放映工作，共放映</w:t>
            </w:r>
            <w:r>
              <w:rPr>
                <w:rFonts w:hint="default" w:ascii="Calibri" w:hAnsi="Calibri" w:eastAsia="宋体" w:cs="Times New Roman"/>
                <w:kern w:val="2"/>
                <w:sz w:val="21"/>
                <w:szCs w:val="22"/>
                <w:lang w:val="en-US" w:eastAsia="zh-CN"/>
              </w:rPr>
              <w:t>2928</w:t>
            </w:r>
            <w:r>
              <w:rPr>
                <w:rFonts w:hint="eastAsia" w:ascii="Calibri" w:hAnsi="Calibri" w:eastAsia="宋体" w:cs="宋体"/>
                <w:kern w:val="2"/>
                <w:sz w:val="21"/>
                <w:szCs w:val="22"/>
                <w:lang w:val="en-US" w:eastAsia="zh-CN"/>
              </w:rPr>
              <w:t>场次公益电影，丰富了农村牧区人民的文化生活，且宣传和传递了党的方针、政策，陶冶了人民的文化生活。</w:t>
            </w:r>
          </w:p>
        </w:tc>
      </w:tr>
      <w:tr>
        <w:trPr>
          <w:trHeight w:val="375" w:hRule="atLeast"/>
        </w:trPr>
        <w:tc>
          <w:tcPr>
            <w:tcW w:w="96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一级指标</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二级指标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三级指标</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指标性质</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指标方向</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年度指标值</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实际完成值</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计量单位</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分值</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得分</w:t>
            </w:r>
          </w:p>
        </w:tc>
        <w:tc>
          <w:tcPr>
            <w:tcW w:w="59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偏差原因分析及改进措施</w:t>
            </w:r>
          </w:p>
        </w:tc>
      </w:tr>
      <w:tr>
        <w:trPr>
          <w:trHeight w:val="840" w:hRule="atLeast"/>
        </w:trPr>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绩效指标</w:t>
            </w: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产出指标</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数量指标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放映覆盖自然村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244</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244.00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个</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每个自然村每年放映电影场次</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12</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12.00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场</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质量指标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放映自然村覆盖率</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放映合格率</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7</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时效指标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放映任务完成及时率</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1010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0.5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放映设备维修维护及时率</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成本指标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放映补贴总费用</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58.56</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58.56</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万元</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每场次的补贴费用</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200.00</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元</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效益指标</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社会效益指标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提升松山区委区政府的公信力</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有效提升</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有效提升</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可持续影响指标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持续提高政府沟通解决群众问题的能力</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定性</w:t>
            </w:r>
          </w:p>
        </w:tc>
        <w:tc>
          <w:tcPr>
            <w:tcW w:w="672"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持续提高</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15</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969" w:type="dxa"/>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满意度指标</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服务对象满意度指标</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农村牧区群众的满意度</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正向</w:t>
            </w:r>
          </w:p>
        </w:tc>
        <w:tc>
          <w:tcPr>
            <w:tcW w:w="67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大于等于</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95</w:t>
            </w:r>
          </w:p>
        </w:tc>
        <w:tc>
          <w:tcPr>
            <w:tcW w:w="902"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94.99</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r>
        <w:trPr>
          <w:trHeight w:val="840" w:hRule="atLeast"/>
        </w:trPr>
        <w:tc>
          <w:tcPr>
            <w:tcW w:w="7509" w:type="dxa"/>
            <w:gridSpan w:val="9"/>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eastAsia" w:ascii="Calibri" w:hAnsi="Calibri" w:eastAsia="宋体" w:cs="宋体"/>
                <w:kern w:val="2"/>
                <w:sz w:val="21"/>
                <w:szCs w:val="22"/>
                <w:lang w:val="en-US" w:eastAsia="zh-CN"/>
              </w:rPr>
              <w:t>总分</w:t>
            </w:r>
          </w:p>
        </w:tc>
        <w:tc>
          <w:tcPr>
            <w:tcW w:w="738"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100</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val="0"/>
              <w:spacing w:before="0" w:beforeAutospacing="0" w:after="0" w:afterAutospacing="0"/>
              <w:ind w:left="0" w:right="0"/>
              <w:jc w:val="center"/>
              <w:rPr>
                <w:rFonts w:hint="default" w:ascii="Calibri" w:hAnsi="Calibri" w:cs="Calibri"/>
                <w:kern w:val="2"/>
                <w:sz w:val="21"/>
                <w:szCs w:val="22"/>
                <w:lang w:val="en-US"/>
              </w:rPr>
            </w:pPr>
            <w:r>
              <w:rPr>
                <w:rFonts w:hint="default" w:ascii="Calibri" w:hAnsi="Calibri" w:eastAsia="宋体" w:cs="Times New Roman"/>
                <w:kern w:val="2"/>
                <w:sz w:val="21"/>
                <w:szCs w:val="22"/>
                <w:lang w:val="en-US" w:eastAsia="zh-CN"/>
              </w:rPr>
              <w:t>85.50</w:t>
            </w:r>
          </w:p>
        </w:tc>
        <w:tc>
          <w:tcPr>
            <w:tcW w:w="59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rPr>
                <w:rFonts w:hint="default" w:ascii="Calibri" w:hAnsi="Calibri" w:cs="Calibri"/>
                <w:kern w:val="2"/>
                <w:sz w:val="21"/>
                <w:szCs w:val="22"/>
              </w:rPr>
            </w:pPr>
          </w:p>
        </w:tc>
      </w:tr>
    </w:tbl>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ind w:firstLine="42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以</w:t>
      </w:r>
      <w:r>
        <w:rPr>
          <w:rFonts w:hint="eastAsia" w:ascii="仿宋_GB2312" w:hAnsi="仿宋_GB2312" w:eastAsia="仿宋_GB2312" w:cs="仿宋_GB2312"/>
          <w:kern w:val="0"/>
          <w:sz w:val="27"/>
          <w:szCs w:val="27"/>
          <w:lang w:eastAsia="zh-CN"/>
        </w:rPr>
        <w:t>《进入松山》播出运营费</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分，绩效评价结果为“优”。部门项目绩效评价得分情况详见单位具体绩效评价结果</w:t>
      </w:r>
    </w:p>
    <w:p>
      <w:pPr>
        <w:widowControl/>
        <w:spacing w:before="240" w:after="240"/>
        <w:ind w:firstLine="420"/>
        <w:jc w:val="center"/>
        <w:rPr>
          <w:rFonts w:hint="default" w:ascii="仿宋_GB2312" w:hAnsi="仿宋_GB2312" w:eastAsia="仿宋_GB2312" w:cs="仿宋_GB2312"/>
          <w:b/>
          <w:bCs/>
          <w:kern w:val="0"/>
          <w:sz w:val="27"/>
          <w:szCs w:val="27"/>
        </w:rPr>
      </w:pPr>
      <w:r>
        <w:rPr>
          <w:rFonts w:hint="default" w:ascii="仿宋_GB2312" w:hAnsi="仿宋_GB2312" w:eastAsia="仿宋_GB2312" w:cs="仿宋_GB2312"/>
          <w:b/>
          <w:bCs/>
          <w:kern w:val="0"/>
          <w:sz w:val="27"/>
          <w:szCs w:val="27"/>
        </w:rPr>
        <w:t>2024年</w:t>
      </w:r>
      <w:r>
        <w:rPr>
          <w:rFonts w:hint="default" w:ascii="仿宋_GB2312" w:hAnsi="仿宋_GB2312" w:eastAsia="仿宋_GB2312" w:cs="仿宋_GB2312"/>
          <w:b/>
          <w:bCs/>
          <w:kern w:val="0"/>
          <w:sz w:val="27"/>
          <w:szCs w:val="27"/>
          <w:lang w:val="en-US" w:eastAsia="zh-CN"/>
        </w:rPr>
        <w:t>度《今日松山》播出运营经费</w:t>
      </w:r>
      <w:r>
        <w:rPr>
          <w:rFonts w:hint="default" w:ascii="仿宋_GB2312" w:hAnsi="仿宋_GB2312" w:eastAsia="仿宋_GB2312" w:cs="仿宋_GB2312"/>
          <w:b/>
          <w:bCs/>
          <w:kern w:val="0"/>
          <w:sz w:val="27"/>
          <w:szCs w:val="27"/>
        </w:rPr>
        <w:t>项目</w:t>
      </w:r>
    </w:p>
    <w:p>
      <w:pPr>
        <w:widowControl/>
        <w:spacing w:before="240" w:after="240"/>
        <w:ind w:firstLine="420"/>
        <w:jc w:val="center"/>
        <w:rPr>
          <w:rFonts w:hint="default" w:ascii="仿宋_GB2312" w:hAnsi="仿宋_GB2312" w:eastAsia="仿宋_GB2312" w:cs="仿宋_GB2312"/>
          <w:b/>
          <w:bCs/>
          <w:kern w:val="0"/>
          <w:sz w:val="27"/>
          <w:szCs w:val="27"/>
        </w:rPr>
      </w:pPr>
      <w:r>
        <w:rPr>
          <w:rFonts w:hint="default" w:ascii="仿宋_GB2312" w:hAnsi="仿宋_GB2312" w:eastAsia="仿宋_GB2312" w:cs="仿宋_GB2312"/>
          <w:b/>
          <w:bCs/>
          <w:kern w:val="0"/>
          <w:sz w:val="27"/>
          <w:szCs w:val="27"/>
        </w:rPr>
        <w:t>绩效自评报告</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一、</w:t>
      </w:r>
      <w:r>
        <w:rPr>
          <w:rFonts w:hint="eastAsia" w:ascii="仿宋_GB2312" w:hAnsi="仿宋_GB2312" w:eastAsia="仿宋_GB2312" w:cs="仿宋_GB2312"/>
          <w:kern w:val="0"/>
          <w:sz w:val="27"/>
          <w:szCs w:val="27"/>
        </w:rPr>
        <w:t>项目</w:t>
      </w:r>
      <w:r>
        <w:rPr>
          <w:rFonts w:hint="eastAsia" w:ascii="仿宋_GB2312" w:hAnsi="仿宋_GB2312" w:eastAsia="仿宋_GB2312" w:cs="仿宋_GB2312"/>
          <w:kern w:val="0"/>
          <w:sz w:val="27"/>
          <w:szCs w:val="27"/>
          <w:lang w:val="en-US" w:eastAsia="zh-CN"/>
        </w:rPr>
        <w:t>基本</w:t>
      </w:r>
      <w:r>
        <w:rPr>
          <w:rFonts w:hint="eastAsia" w:ascii="仿宋_GB2312" w:hAnsi="仿宋_GB2312" w:eastAsia="仿宋_GB2312" w:cs="仿宋_GB2312"/>
          <w:kern w:val="0"/>
          <w:sz w:val="27"/>
          <w:szCs w:val="27"/>
        </w:rPr>
        <w:t>情况</w:t>
      </w:r>
    </w:p>
    <w:p>
      <w:pPr>
        <w:widowControl/>
        <w:spacing w:before="240" w:after="240"/>
        <w:ind w:firstLine="42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（一）项目基本情况简介。</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1、保障松山区委、区政府的电视宣传，提升传播力、引导力、影响力、公信力；</w:t>
      </w:r>
      <w:r>
        <w:rPr>
          <w:rFonts w:hint="eastAsia" w:ascii="仿宋_GB2312" w:hAnsi="仿宋_GB2312" w:eastAsia="仿宋_GB2312" w:cs="仿宋_GB2312"/>
          <w:kern w:val="0"/>
          <w:sz w:val="27"/>
          <w:szCs w:val="27"/>
        </w:rPr>
        <w:cr/>
      </w: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2、开展电视新闻作品的策划、采制、审查、包装以及编排管理工作和设备维护更新；</w:t>
      </w:r>
      <w:r>
        <w:rPr>
          <w:rFonts w:hint="eastAsia" w:ascii="仿宋_GB2312" w:hAnsi="仿宋_GB2312" w:eastAsia="仿宋_GB2312" w:cs="仿宋_GB2312"/>
          <w:kern w:val="0"/>
          <w:sz w:val="27"/>
          <w:szCs w:val="27"/>
        </w:rPr>
        <w:cr/>
      </w: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3、组织相关工作人员的业务培训和交流，不断提高工作人员的业务素质和播报节目的质量。</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二</w:t>
      </w:r>
      <w:r>
        <w:rPr>
          <w:rFonts w:hint="default" w:ascii="仿宋_GB2312" w:hAnsi="仿宋_GB2312" w:eastAsia="仿宋_GB2312" w:cs="仿宋_GB2312"/>
          <w:kern w:val="0"/>
          <w:sz w:val="27"/>
          <w:szCs w:val="27"/>
        </w:rPr>
        <w:t>）绩效目标设定及</w:t>
      </w:r>
      <w:r>
        <w:rPr>
          <w:rFonts w:hint="default" w:ascii="仿宋_GB2312" w:hAnsi="仿宋_GB2312" w:eastAsia="仿宋_GB2312" w:cs="仿宋_GB2312"/>
          <w:kern w:val="0"/>
          <w:sz w:val="27"/>
          <w:szCs w:val="27"/>
          <w:lang w:val="en-US" w:eastAsia="zh-CN"/>
        </w:rPr>
        <w:t>指标</w:t>
      </w:r>
      <w:r>
        <w:rPr>
          <w:rFonts w:hint="default" w:ascii="仿宋_GB2312" w:hAnsi="仿宋_GB2312" w:eastAsia="仿宋_GB2312" w:cs="仿宋_GB2312"/>
          <w:kern w:val="0"/>
          <w:sz w:val="27"/>
          <w:szCs w:val="27"/>
        </w:rPr>
        <w:t>完成情况。</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年度绩效</w:t>
      </w:r>
      <w:r>
        <w:rPr>
          <w:rFonts w:hint="default" w:ascii="仿宋_GB2312" w:hAnsi="仿宋_GB2312" w:eastAsia="仿宋_GB2312" w:cs="仿宋_GB2312"/>
          <w:kern w:val="0"/>
          <w:sz w:val="27"/>
          <w:szCs w:val="27"/>
          <w:lang w:val="en-US" w:eastAsia="zh-CN"/>
        </w:rPr>
        <w:t>目标：</w:t>
      </w:r>
      <w:r>
        <w:rPr>
          <w:rFonts w:hint="eastAsia" w:ascii="仿宋_GB2312" w:hAnsi="仿宋_GB2312" w:eastAsia="仿宋_GB2312" w:cs="仿宋_GB2312"/>
          <w:kern w:val="0"/>
          <w:sz w:val="27"/>
          <w:szCs w:val="27"/>
          <w:lang w:val="en-US" w:eastAsia="zh-CN"/>
        </w:rPr>
        <w:t>《今日松山》电视栏目预算支出90万元；主要用于付给赤峰市广播电视台播出通道费60万元，乡镇信号转播机房维护费20万元，新闻采编播人员办公费10万元；保障松山区委、区政府的电视宣传，提升传播力、引导力、影响力、公信力。</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年度</w:t>
      </w:r>
      <w:r>
        <w:rPr>
          <w:rFonts w:hint="default" w:ascii="仿宋_GB2312" w:hAnsi="仿宋_GB2312" w:eastAsia="仿宋_GB2312" w:cs="仿宋_GB2312"/>
          <w:kern w:val="0"/>
          <w:sz w:val="27"/>
          <w:szCs w:val="27"/>
          <w:lang w:val="en-US" w:eastAsia="zh-CN"/>
        </w:rPr>
        <w:t>绩效目标完成情况：</w:t>
      </w:r>
      <w:r>
        <w:rPr>
          <w:rFonts w:hint="eastAsia" w:ascii="仿宋_GB2312" w:hAnsi="仿宋_GB2312" w:eastAsia="仿宋_GB2312" w:cs="仿宋_GB2312"/>
          <w:kern w:val="0"/>
          <w:sz w:val="27"/>
          <w:szCs w:val="27"/>
          <w:lang w:val="en-US" w:eastAsia="zh-CN"/>
        </w:rPr>
        <w:t xml:space="preserve"> 主要用完《今日松山》采编节目的采编制作等费用，向人民传播松山的美好和变化、以及松山大事，保障松山区委、区政府的电视宣传，提升传播力、引导力、影响力、公信力。</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三</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偏差分析及整改措施。</w:t>
      </w:r>
    </w:p>
    <w:p>
      <w:pPr>
        <w:widowControl/>
        <w:spacing w:before="240" w:after="240"/>
        <w:ind w:firstLine="42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二、绩效自评工作情况</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一</w:t>
      </w:r>
      <w:r>
        <w:rPr>
          <w:rFonts w:hint="default" w:ascii="仿宋_GB2312" w:hAnsi="仿宋_GB2312" w:eastAsia="仿宋_GB2312" w:cs="仿宋_GB2312"/>
          <w:kern w:val="0"/>
          <w:sz w:val="27"/>
          <w:szCs w:val="27"/>
        </w:rPr>
        <w:t>）绩效自评目的。</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绩效自评的目的是通过绩效的自评实现管理的目标，提高工作效率，检查工作质量，检查是否做到了有效的绩效评价。在绩效自评工作开展过程中，找出问题，解决问题，更好的认识到不足，及时调整工作方向。在工作中，要时刻保持积极、乐观的心态，不计较个人得失，积极为单位发展尽心尽力，尽职尽责，做好自己的本职工作，有积极的工作态度，不断提高业务水平。充分发挥自己的主观能动性和工作积极性，已高度的责任感完成自己的本职工作，同时，加强专业知识的学习，虚心向身边同事学习，保障细节工作的到位。在工作中要创新，首先是要确保做正确的事，然后再在规定的时间内，去探索用更正确的方法去创新做事，细节决定方向，观念决定习惯，要在“规定的时间内，用正确的方法，做正确的事”。</w:t>
      </w:r>
    </w:p>
    <w:p>
      <w:pPr>
        <w:widowControl/>
        <w:spacing w:before="240" w:after="240"/>
        <w:ind w:firstLine="42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二</w:t>
      </w:r>
      <w:r>
        <w:rPr>
          <w:rFonts w:hint="eastAsia" w:ascii="仿宋_GB2312" w:hAnsi="仿宋_GB2312" w:eastAsia="仿宋_GB2312" w:cs="仿宋_GB2312"/>
          <w:kern w:val="0"/>
          <w:sz w:val="27"/>
          <w:szCs w:val="27"/>
        </w:rPr>
        <w:t>）项目资金投入情况。</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项目资金</w:t>
      </w:r>
      <w:r>
        <w:rPr>
          <w:rFonts w:hint="default" w:ascii="仿宋_GB2312" w:hAnsi="仿宋_GB2312" w:eastAsia="仿宋_GB2312" w:cs="仿宋_GB2312"/>
          <w:kern w:val="0"/>
          <w:sz w:val="27"/>
          <w:szCs w:val="27"/>
          <w:lang w:val="en-US" w:eastAsia="zh-CN"/>
        </w:rPr>
        <w:t>年初预算数</w:t>
      </w:r>
      <w:r>
        <w:rPr>
          <w:rFonts w:hint="eastAsia" w:ascii="仿宋_GB2312" w:hAnsi="仿宋_GB2312" w:eastAsia="仿宋_GB2312" w:cs="仿宋_GB2312"/>
          <w:kern w:val="0"/>
          <w:sz w:val="27"/>
          <w:szCs w:val="27"/>
          <w:lang w:val="en-US" w:eastAsia="zh-CN"/>
        </w:rPr>
        <w:t>90</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90</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w:t>
      </w:r>
      <w:r>
        <w:rPr>
          <w:rFonts w:hint="eastAsia" w:ascii="仿宋_GB2312" w:hAnsi="仿宋_GB2312" w:eastAsia="仿宋_GB2312" w:cs="仿宋_GB2312"/>
          <w:kern w:val="0"/>
          <w:sz w:val="27"/>
          <w:szCs w:val="27"/>
          <w:lang w:val="en-US" w:eastAsia="zh-CN"/>
        </w:rPr>
        <w:t>年度调整金额-63</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-63</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w:t>
      </w:r>
      <w:r>
        <w:rPr>
          <w:rFonts w:hint="eastAsia" w:ascii="仿宋_GB2312" w:hAnsi="仿宋_GB2312" w:eastAsia="仿宋_GB2312" w:cs="仿宋_GB2312"/>
          <w:kern w:val="0"/>
          <w:sz w:val="27"/>
          <w:szCs w:val="27"/>
          <w:lang w:val="en-US" w:eastAsia="zh-CN"/>
        </w:rPr>
        <w:t>变动后预算数27</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27</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资金全年执行数</w:t>
      </w:r>
      <w:r>
        <w:rPr>
          <w:rFonts w:hint="eastAsia" w:ascii="仿宋_GB2312" w:hAnsi="仿宋_GB2312" w:eastAsia="仿宋_GB2312" w:cs="仿宋_GB2312"/>
          <w:kern w:val="0"/>
          <w:sz w:val="27"/>
          <w:szCs w:val="27"/>
          <w:lang w:val="en-US" w:eastAsia="zh-CN"/>
        </w:rPr>
        <w:t>27</w:t>
      </w:r>
      <w:r>
        <w:rPr>
          <w:rFonts w:hint="default" w:ascii="仿宋_GB2312" w:hAnsi="仿宋_GB2312" w:eastAsia="仿宋_GB2312" w:cs="仿宋_GB2312"/>
          <w:kern w:val="0"/>
          <w:sz w:val="27"/>
          <w:szCs w:val="27"/>
          <w:lang w:val="en-US" w:eastAsia="zh-CN"/>
        </w:rPr>
        <w:t>万元</w:t>
      </w:r>
      <w:r>
        <w:rPr>
          <w:rFonts w:hint="eastAsia" w:ascii="仿宋_GB2312" w:hAnsi="仿宋_GB2312" w:eastAsia="仿宋_GB2312" w:cs="仿宋_GB2312"/>
          <w:kern w:val="0"/>
          <w:sz w:val="27"/>
          <w:szCs w:val="27"/>
          <w:lang w:val="en-US" w:eastAsia="zh-CN"/>
        </w:rPr>
        <w:t>、执行率为100</w:t>
      </w:r>
      <w:r>
        <w:rPr>
          <w:rFonts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，其中：财政拨款</w:t>
      </w:r>
      <w:r>
        <w:rPr>
          <w:rFonts w:hint="eastAsia" w:ascii="仿宋_GB2312" w:hAnsi="仿宋_GB2312" w:eastAsia="仿宋_GB2312" w:cs="仿宋_GB2312"/>
          <w:kern w:val="0"/>
          <w:sz w:val="27"/>
          <w:szCs w:val="27"/>
          <w:lang w:val="en-US" w:eastAsia="zh-CN"/>
        </w:rPr>
        <w:t>27</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三</w:t>
      </w:r>
      <w:r>
        <w:rPr>
          <w:rFonts w:hint="default" w:ascii="仿宋_GB2312" w:hAnsi="仿宋_GB2312" w:eastAsia="仿宋_GB2312" w:cs="仿宋_GB2312"/>
          <w:kern w:val="0"/>
          <w:sz w:val="27"/>
          <w:szCs w:val="27"/>
        </w:rPr>
        <w:t>）项目资金产出情况。</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项目资金为90万元，为区本级财政补贴来源；主要用于《今日松山》在赤峰市电视台播出通道费为60万元，赤峰市松山区木头沟有线电视机房、附属机房运行维保以及城郊有线电视线路保养维护费20万元，单位法律顾问费3万元，场馆二楼保洁费3万元，办公费4万元。保障《今日松山》电视节目的采访、编制、播放以及信号的传输。</w:t>
      </w:r>
    </w:p>
    <w:p>
      <w:pPr>
        <w:widowControl/>
        <w:spacing w:before="240" w:after="240"/>
        <w:ind w:firstLine="42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四</w:t>
      </w:r>
      <w:r>
        <w:rPr>
          <w:rFonts w:hint="default" w:ascii="仿宋_GB2312" w:hAnsi="仿宋_GB2312" w:eastAsia="仿宋_GB2312" w:cs="仿宋_GB2312"/>
          <w:kern w:val="0"/>
          <w:sz w:val="27"/>
          <w:szCs w:val="27"/>
        </w:rPr>
        <w:t>）项目资金管理情况。</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项目资金年初由项目单位提出预算申请，由财政局相关股室审核通过，下达项目资金指标。在使用过程中也是有业务单位提出用款计划申请，由财政局相关股室下达用款额度，再有单位录入相应的支付信息，最后拨付到相关的服务单位。在资金管理中，单位都是在年初细化指标，在单位业务开展中严格执行相关的资金管理制度和流程,年末做决算和资金使用自评。</w:t>
      </w:r>
    </w:p>
    <w:p>
      <w:pPr>
        <w:widowControl/>
        <w:spacing w:before="240" w:after="240"/>
        <w:ind w:firstLine="42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三、项目绩效情况</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(一) 产出指标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1.数量指标</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（1）今日松山节目播放次数(次/年)，</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360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365</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（2）机房运维人数(人)，</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3</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3</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2.质量指标</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（1）今日松山内容合格率(%)，</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8</w:t>
      </w:r>
      <w:r>
        <w:rPr>
          <w:rFonts w:hint="default" w:ascii="仿宋_GB2312" w:hAnsi="仿宋_GB2312" w:eastAsia="仿宋_GB2312" w:cs="仿宋_GB2312"/>
          <w:kern w:val="0"/>
          <w:sz w:val="27"/>
          <w:szCs w:val="27"/>
        </w:rPr>
        <w:t>。</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（2）维修运维质量达标率(%)，</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7</w:t>
      </w:r>
      <w:r>
        <w:rPr>
          <w:rFonts w:hint="default" w:ascii="仿宋_GB2312" w:hAnsi="仿宋_GB2312" w:eastAsia="仿宋_GB2312" w:cs="仿宋_GB2312"/>
          <w:kern w:val="0"/>
          <w:sz w:val="27"/>
          <w:szCs w:val="27"/>
        </w:rPr>
        <w:t>。</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3.时效指标</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（1）播放时间(分/天)，</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10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10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（2）机房运行维护时间(年)，</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1</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2</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4.成本指标</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（1）今日松山播出通道费(万元)，</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60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（2）机房运维总成本(万元)，</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20</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20</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5</w:t>
      </w:r>
      <w:r>
        <w:rPr>
          <w:rFonts w:hint="default" w:ascii="仿宋_GB2312" w:hAnsi="仿宋_GB2312" w:eastAsia="仿宋_GB2312" w:cs="仿宋_GB2312"/>
          <w:kern w:val="0"/>
          <w:sz w:val="27"/>
          <w:szCs w:val="27"/>
        </w:rPr>
        <w:t>。</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(二) 效益指标</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5.社会效益指标</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（1）提升松山区委区政府公信力，</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显著提升</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显著提升</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6.可持续影响指标</w:t>
      </w:r>
    </w:p>
    <w:p>
      <w:pPr>
        <w:widowControl/>
        <w:spacing w:before="240" w:after="240"/>
        <w:ind w:firstLine="420"/>
        <w:jc w:val="left"/>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（1）持续提高政府沟通解决群众问题的能力，</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长期</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长期</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15</w:t>
      </w:r>
      <w:r>
        <w:rPr>
          <w:rFonts w:hint="default" w:ascii="仿宋_GB2312" w:hAnsi="仿宋_GB2312" w:eastAsia="仿宋_GB2312" w:cs="仿宋_GB2312"/>
          <w:kern w:val="0"/>
          <w:sz w:val="27"/>
          <w:szCs w:val="27"/>
        </w:rPr>
        <w:t>。</w:t>
      </w:r>
    </w:p>
    <w:p>
      <w:pPr>
        <w:widowControl/>
        <w:spacing w:before="240" w:after="240"/>
        <w:ind w:firstLine="42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(三) 满意度指标</w:t>
      </w:r>
    </w:p>
    <w:p>
      <w:pPr>
        <w:widowControl/>
        <w:wordWrap/>
        <w:adjustRightInd/>
        <w:snapToGrid/>
        <w:spacing w:before="240" w:after="240" w:line="240" w:lineRule="auto"/>
        <w:ind w:left="0" w:leftChars="0" w:right="0" w:firstLine="420" w:firstLineChars="0"/>
        <w:jc w:val="left"/>
        <w:textAlignment w:val="auto"/>
        <w:outlineLvl w:val="9"/>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kern w:val="0"/>
          <w:sz w:val="27"/>
          <w:szCs w:val="27"/>
        </w:rPr>
        <w:t>7.服务对象满意度指标</w:t>
      </w:r>
    </w:p>
    <w:p>
      <w:pPr>
        <w:widowControl/>
        <w:wordWrap/>
        <w:adjustRightInd/>
        <w:snapToGrid/>
        <w:spacing w:before="240" w:after="240" w:line="240" w:lineRule="auto"/>
        <w:ind w:left="0" w:leftChars="0" w:right="0" w:firstLine="420" w:firstLineChars="0"/>
        <w:jc w:val="left"/>
        <w:textAlignment w:val="auto"/>
        <w:outlineLvl w:val="9"/>
        <w:rPr>
          <w:rFonts w:hint="default" w:ascii="仿宋_GB2312" w:hAnsi="仿宋_GB2312" w:eastAsia="仿宋_GB2312" w:cs="仿宋_GB2312"/>
          <w:kern w:val="0"/>
          <w:sz w:val="27"/>
          <w:szCs w:val="27"/>
        </w:rPr>
      </w:pPr>
      <w:r>
        <w:rPr>
          <w:rFonts w:ascii="仿宋_GB2312" w:hAnsi="仿宋_GB2312" w:eastAsia="仿宋_GB2312" w:cs="仿宋_GB2312"/>
          <w:kern w:val="0"/>
          <w:sz w:val="27"/>
          <w:szCs w:val="27"/>
        </w:rPr>
        <w:t>（1）服务群众满意度(%)，</w:t>
      </w:r>
      <w:r>
        <w:rPr>
          <w:rFonts w:hint="default" w:ascii="仿宋_GB2312" w:hAnsi="仿宋_GB2312" w:eastAsia="仿宋_GB2312" w:cs="仿宋_GB2312"/>
          <w:kern w:val="0"/>
          <w:sz w:val="27"/>
          <w:szCs w:val="27"/>
        </w:rPr>
        <w:t>目标值</w:t>
      </w:r>
      <w:r>
        <w:rPr>
          <w:rFonts w:hint="eastAsia" w:ascii="仿宋_GB2312" w:hAnsi="仿宋_GB2312" w:eastAsia="仿宋_GB2312" w:cs="仿宋_GB2312"/>
          <w:kern w:val="0"/>
          <w:sz w:val="27"/>
          <w:szCs w:val="27"/>
        </w:rPr>
        <w:t>95</w:t>
      </w:r>
      <w:r>
        <w:rPr>
          <w:rFonts w:hint="default" w:ascii="仿宋_GB2312" w:hAnsi="仿宋_GB2312" w:eastAsia="仿宋_GB2312" w:cs="仿宋_GB2312"/>
          <w:kern w:val="0"/>
          <w:sz w:val="27"/>
          <w:szCs w:val="27"/>
        </w:rPr>
        <w:t>，完成值</w:t>
      </w:r>
      <w:r>
        <w:rPr>
          <w:rFonts w:hint="eastAsia" w:ascii="仿宋_GB2312" w:hAnsi="仿宋_GB2312" w:eastAsia="仿宋_GB2312" w:cs="仿宋_GB2312"/>
          <w:kern w:val="0"/>
          <w:sz w:val="27"/>
          <w:szCs w:val="27"/>
        </w:rPr>
        <w:t>98</w:t>
      </w:r>
      <w:r>
        <w:rPr>
          <w:rFonts w:hint="default" w:ascii="仿宋_GB2312" w:hAnsi="仿宋_GB2312" w:eastAsia="仿宋_GB2312" w:cs="仿宋_GB2312"/>
          <w:kern w:val="0"/>
          <w:sz w:val="27"/>
          <w:szCs w:val="27"/>
        </w:rPr>
        <w:t>，分值</w:t>
      </w:r>
      <w:r>
        <w:rPr>
          <w:rFonts w:hint="eastAsia" w:ascii="仿宋_GB2312" w:hAnsi="仿宋_GB2312" w:eastAsia="仿宋_GB2312" w:cs="仿宋_GB2312"/>
          <w:kern w:val="0"/>
          <w:sz w:val="27"/>
          <w:szCs w:val="27"/>
        </w:rPr>
        <w:t>10</w:t>
      </w:r>
      <w:r>
        <w:rPr>
          <w:rFonts w:hint="default" w:ascii="仿宋_GB2312" w:hAnsi="仿宋_GB2312" w:eastAsia="仿宋_GB2312" w:cs="仿宋_GB2312"/>
          <w:kern w:val="0"/>
          <w:sz w:val="27"/>
          <w:szCs w:val="27"/>
        </w:rPr>
        <w:t>，得分</w:t>
      </w:r>
      <w:r>
        <w:rPr>
          <w:rFonts w:hint="eastAsia" w:ascii="仿宋_GB2312" w:hAnsi="仿宋_GB2312" w:eastAsia="仿宋_GB2312" w:cs="仿宋_GB2312"/>
          <w:kern w:val="0"/>
          <w:sz w:val="27"/>
          <w:szCs w:val="27"/>
        </w:rPr>
        <w:t>10</w:t>
      </w:r>
      <w:r>
        <w:rPr>
          <w:rFonts w:hint="default" w:ascii="仿宋_GB2312" w:hAnsi="仿宋_GB2312" w:eastAsia="仿宋_GB2312" w:cs="仿宋_GB2312"/>
          <w:kern w:val="0"/>
          <w:sz w:val="27"/>
          <w:szCs w:val="27"/>
        </w:rPr>
        <w:t>。</w:t>
      </w:r>
    </w:p>
    <w:p>
      <w:pPr>
        <w:widowControl/>
        <w:wordWrap/>
        <w:adjustRightInd/>
        <w:snapToGrid/>
        <w:spacing w:before="240" w:after="240" w:line="240" w:lineRule="auto"/>
        <w:ind w:left="0" w:leftChars="0" w:right="0" w:firstLine="420" w:firstLineChars="0"/>
        <w:jc w:val="left"/>
        <w:textAlignment w:val="auto"/>
        <w:outlineLvl w:val="9"/>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(四) 自评得分情况</w:t>
      </w:r>
    </w:p>
    <w:p>
      <w:pPr>
        <w:widowControl/>
        <w:wordWrap/>
        <w:adjustRightInd/>
        <w:snapToGrid/>
        <w:spacing w:before="240" w:after="240" w:line="240" w:lineRule="auto"/>
        <w:ind w:left="0" w:leftChars="0" w:right="0" w:firstLine="420" w:firstLineChars="0"/>
        <w:jc w:val="left"/>
        <w:textAlignment w:val="auto"/>
        <w:outlineLvl w:val="9"/>
        <w:rPr>
          <w:rFonts w:hint="default"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rPr>
        <w:t>本项目绩效自评得分</w:t>
      </w:r>
      <w:r>
        <w:rPr>
          <w:rFonts w:hint="eastAsia" w:ascii="仿宋_GB2312" w:hAnsi="仿宋_GB2312" w:eastAsia="仿宋_GB2312" w:cs="仿宋_GB2312"/>
          <w:kern w:val="0"/>
          <w:sz w:val="27"/>
          <w:szCs w:val="27"/>
        </w:rPr>
        <w:t>100</w:t>
      </w:r>
      <w:r>
        <w:rPr>
          <w:rFonts w:hint="default" w:ascii="仿宋_GB2312" w:hAnsi="仿宋_GB2312" w:eastAsia="仿宋_GB2312" w:cs="仿宋_GB2312"/>
          <w:kern w:val="0"/>
          <w:sz w:val="27"/>
          <w:szCs w:val="27"/>
        </w:rPr>
        <w:t>分，等级为</w:t>
      </w:r>
      <w:r>
        <w:rPr>
          <w:rFonts w:hint="eastAsia" w:ascii="仿宋_GB2312" w:hAnsi="仿宋_GB2312" w:eastAsia="仿宋_GB2312" w:cs="仿宋_GB2312"/>
          <w:kern w:val="0"/>
          <w:sz w:val="27"/>
          <w:szCs w:val="27"/>
        </w:rPr>
        <w:t>优</w:t>
      </w:r>
      <w:r>
        <w:rPr>
          <w:rFonts w:hint="default" w:ascii="仿宋_GB2312" w:hAnsi="仿宋_GB2312" w:eastAsia="仿宋_GB2312" w:cs="仿宋_GB2312"/>
          <w:kern w:val="0"/>
          <w:sz w:val="27"/>
          <w:szCs w:val="27"/>
          <w:lang w:eastAsia="zh-CN"/>
        </w:rPr>
        <w:t>。</w:t>
      </w:r>
    </w:p>
    <w:p>
      <w:pPr>
        <w:widowControl/>
        <w:wordWrap/>
        <w:adjustRightInd/>
        <w:snapToGrid/>
        <w:spacing w:before="240" w:after="240" w:line="240" w:lineRule="auto"/>
        <w:ind w:left="0" w:leftChars="0" w:right="0" w:firstLine="420" w:firstLineChars="0"/>
        <w:jc w:val="left"/>
        <w:textAlignment w:val="auto"/>
        <w:outlineLvl w:val="9"/>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四、存在问题</w:t>
      </w:r>
    </w:p>
    <w:p>
      <w:pPr>
        <w:widowControl/>
        <w:wordWrap/>
        <w:adjustRightInd/>
        <w:snapToGrid/>
        <w:spacing w:before="240" w:after="240" w:line="240" w:lineRule="auto"/>
        <w:ind w:left="0" w:leftChars="0" w:right="0" w:firstLine="420" w:firstLineChars="0"/>
        <w:jc w:val="left"/>
        <w:textAlignment w:val="auto"/>
        <w:outlineLvl w:val="9"/>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rPr>
        <w:t>（一）</w:t>
      </w:r>
      <w:r>
        <w:rPr>
          <w:rFonts w:hint="default" w:ascii="仿宋_GB2312" w:hAnsi="仿宋_GB2312" w:eastAsia="仿宋_GB2312" w:cs="仿宋_GB2312"/>
          <w:kern w:val="0"/>
          <w:sz w:val="27"/>
          <w:szCs w:val="27"/>
          <w:lang w:val="en-US" w:eastAsia="zh-CN"/>
        </w:rPr>
        <w:t>项目立项、实施存在问题。</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无</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资金管理使用存在问题</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无</w:t>
      </w:r>
    </w:p>
    <w:p>
      <w:pPr>
        <w:widowControl/>
        <w:spacing w:before="240" w:after="240"/>
        <w:ind w:firstLine="42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lang w:val="en-US" w:eastAsia="zh-CN"/>
        </w:rPr>
        <w:t>五、其他需要说明的问题</w:t>
      </w:r>
    </w:p>
    <w:p>
      <w:pPr>
        <w:widowControl/>
        <w:spacing w:before="240" w:after="240"/>
        <w:ind w:firstLine="42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（一）后续工作计划。</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需要针对绩效分析识别出的问题和风险，制定相应的措施和计划，以降低项目的风险和提高成功率；如果项目偏离了原有计划，需要及时调整和安排，以确保项目能够顺利实施；需要对项目资源进行细致规划和调研，以确保项目的顺利推进；需要对项目风险进行管理和控制，以确保项目的成功率和顺利实施。在项目执行和实施过程中，需要不断反馈和调整行动计划，以最终实现项目目标。</w:t>
      </w:r>
    </w:p>
    <w:p>
      <w:pPr>
        <w:widowControl/>
        <w:spacing w:before="240" w:after="240"/>
        <w:ind w:firstLine="420"/>
        <w:jc w:val="left"/>
        <w:rPr>
          <w:rFonts w:hint="default"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 xml:space="preserve"> </w:t>
      </w:r>
      <w:r>
        <w:rPr>
          <w:rFonts w:hint="default" w:ascii="仿宋_GB2312" w:hAnsi="仿宋_GB2312" w:eastAsia="仿宋_GB2312" w:cs="仿宋_GB2312"/>
          <w:kern w:val="0"/>
          <w:sz w:val="27"/>
          <w:szCs w:val="27"/>
        </w:rPr>
        <w:t>（二）措施及办法。</w:t>
      </w:r>
    </w:p>
    <w:p>
      <w:pPr>
        <w:widowControl/>
        <w:spacing w:before="240" w:after="240"/>
        <w:ind w:firstLine="42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 xml:space="preserve">  加强绩效评价和绩效方法的学习，提升绩效评价的准确性和实用性。</w:t>
      </w: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pStyle w:val="3"/>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赵志君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0476-8468517</w:t>
      </w:r>
    </w:p>
    <w:p>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tabs>
          <w:tab w:val="left" w:pos="8415"/>
        </w:tabs>
      </w:pPr>
      <w:bookmarkStart w:id="1" w:name="_GoBack"/>
      <w:bookmarkEnd w:id="1"/>
    </w:p>
    <w:sectPr>
      <w:footerReference r:id="rId5" w:type="default"/>
      <w:pgSz w:w="11906" w:h="16838"/>
      <w:pgMar w:top="1440" w:right="1083" w:bottom="1440" w:left="1083" w:header="0" w:footer="720"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40001" w:csb1="00000000"/>
  </w:font>
  <w:font w:name="fang_zheng_xiao_biao_song_ti">
    <w:altName w:val="Segoe Print"/>
    <w:panose1 w:val="00000000000000000000"/>
    <w:charset w:val="00"/>
    <w:family w:val="auto"/>
    <w:pitch w:val="default"/>
    <w:sig w:usb0="00000000" w:usb1="00000000" w:usb2="00000000" w:usb3="00000000" w:csb0="00040001" w:csb1="00000000"/>
  </w:font>
  <w:font w:name="kai_ti_gb2312">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Sun-ExtB">
    <w:panose1 w:val="02010609060101010101"/>
    <w:charset w:val="86"/>
    <w:family w:val="auto"/>
    <w:pitch w:val="default"/>
    <w:sig w:usb0="00000001" w:usb1="02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KodchiangUPC">
    <w:altName w:val="Microsoft Sans Serif"/>
    <w:panose1 w:val="02020603050405020304"/>
    <w:charset w:val="00"/>
    <w:family w:val="auto"/>
    <w:pitch w:val="default"/>
    <w:sig w:usb0="01000007" w:usb1="00000002" w:usb2="00000000" w:usb3="00000000" w:csb0="00010001" w:csb1="00000000"/>
  </w:font>
  <w:font w:name="Khmer UI">
    <w:altName w:val="Segoe UI Symbol"/>
    <w:panose1 w:val="020B0502040204020203"/>
    <w:charset w:val="00"/>
    <w:family w:val="auto"/>
    <w:pitch w:val="default"/>
    <w:sig w:usb0="8000002F" w:usb1="0000204A" w:usb2="00010000" w:usb3="00000000" w:csb0="00000001" w:csb1="00000000"/>
  </w:font>
  <w:font w:name="Kartika">
    <w:altName w:val="PMingLiU-ExtB"/>
    <w:panose1 w:val="02020503030404060203"/>
    <w:charset w:val="00"/>
    <w:family w:val="auto"/>
    <w:pitch w:val="default"/>
    <w:sig w:usb0="00800003" w:usb1="00000000" w:usb2="00000000" w:usb3="00000000" w:csb0="00000001" w:csb1="00000000"/>
  </w:font>
  <w:font w:name="Kalinga">
    <w:altName w:val="Segoe UI Symbol"/>
    <w:panose1 w:val="020B0502040204020203"/>
    <w:charset w:val="00"/>
    <w:family w:val="auto"/>
    <w:pitch w:val="default"/>
    <w:sig w:usb0="00080003" w:usb1="00000000" w:usb2="00000000" w:usb3="00000000" w:csb0="00000001" w:csb1="00000000"/>
  </w:font>
  <w:font w:name="Juice ITC">
    <w:panose1 w:val="04040403040A02020202"/>
    <w:charset w:val="00"/>
    <w:family w:val="auto"/>
    <w:pitch w:val="default"/>
    <w:sig w:usb0="00000003"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JasmineUPC">
    <w:altName w:val="Microsoft Sans Serif"/>
    <w:panose1 w:val="02020603050405020304"/>
    <w:charset w:val="00"/>
    <w:family w:val="auto"/>
    <w:pitch w:val="default"/>
    <w:sig w:usb0="01000007" w:usb1="00000002" w:usb2="00000000" w:usb3="00000000" w:csb0="00010001"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Arial Unicode MS"/>
    <w:panose1 w:val="02010601030101010101"/>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Kingsoft Sign">
    <w:altName w:val="Segoe Print"/>
    <w:panose1 w:val="05050102010706020507"/>
    <w:charset w:val="00"/>
    <w:family w:val="auto"/>
    <w:pitch w:val="default"/>
    <w:sig w:usb0="00000000" w:usb1="00000000" w:usb2="00000000" w:usb3="00000000" w:csb0="00000001" w:csb1="00000000"/>
  </w:font>
  <w:font w:name="Helvetica Neue">
    <w:altName w:val="Corbel"/>
    <w:panose1 w:val="02000503000000020004"/>
    <w:charset w:val="00"/>
    <w:family w:val="auto"/>
    <w:pitch w:val="default"/>
    <w:sig w:usb0="00000000" w:usb1="00000000" w:usb2="00000010" w:usb3="00000000" w:csb0="00000000" w:csb1="00000000"/>
  </w:font>
  <w:font w:name="Snell Roundhand Regular">
    <w:altName w:val="Segoe Print"/>
    <w:panose1 w:val="02000603080000090004"/>
    <w:charset w:val="00"/>
    <w:family w:val="auto"/>
    <w:pitch w:val="default"/>
    <w:sig w:usb0="00000000" w:usb1="00000000" w:usb2="00000000" w:usb3="00000000" w:csb0="20000111" w:csb1="41000000"/>
  </w:font>
  <w:font w:name="Tamil MN Regular">
    <w:altName w:val="Segoe Print"/>
    <w:panose1 w:val="00000500000000000000"/>
    <w:charset w:val="00"/>
    <w:family w:val="auto"/>
    <w:pitch w:val="default"/>
    <w:sig w:usb0="00000000" w:usb1="00000000" w:usb2="00000000" w:usb3="00000000" w:csb0="00000001" w:csb1="00000000"/>
  </w:font>
  <w:font w:name="Tamil Sangam MN Regular">
    <w:altName w:val="Segoe Print"/>
    <w:panose1 w:val="00000500000000000000"/>
    <w:charset w:val="00"/>
    <w:family w:val="auto"/>
    <w:pitch w:val="default"/>
    <w:sig w:usb0="00000000" w:usb1="00000000" w:usb2="00000000" w:usb3="00000000" w:csb0="00000001" w:csb1="00000000"/>
  </w:font>
  <w:font w:name="Kingsoft Extra">
    <w:altName w:val="Segoe Print"/>
    <w:panose1 w:val="05050102010205020202"/>
    <w:charset w:val="00"/>
    <w:family w:val="auto"/>
    <w:pitch w:val="default"/>
    <w:sig w:usb0="00000000" w:usb1="00000000" w:usb2="00000000" w:usb3="00000000" w:csb0="00000001" w:csb1="00000000"/>
  </w:font>
  <w:font w:name="宋体-简">
    <w:altName w:val="宋体"/>
    <w:panose1 w:val="02010800040101010101"/>
    <w:charset w:val="86"/>
    <w:family w:val="auto"/>
    <w:pitch w:val="default"/>
    <w:sig w:usb0="00000000" w:usb1="00000000" w:usb2="00000000" w:usb3="00000000" w:csb0="00040000" w:csb1="00000000"/>
  </w:font>
  <w:font w:name="Hiragino Mincho Pro W3">
    <w:altName w:val="MS Mincho"/>
    <w:panose1 w:val="02020300000000000000"/>
    <w:charset w:val="80"/>
    <w:family w:val="auto"/>
    <w:pitch w:val="default"/>
    <w:sig w:usb0="00000000" w:usb1="00000000" w:usb2="00000012" w:usb3="00000000" w:csb0="0002000D" w:csb1="00000000"/>
  </w:font>
  <w:font w:name="Geeza Pro Regular">
    <w:altName w:val="Eras Light ITC"/>
    <w:panose1 w:val="02000400000000000000"/>
    <w:charset w:val="00"/>
    <w:family w:val="auto"/>
    <w:pitch w:val="default"/>
    <w:sig w:usb0="00000000" w:usb1="00000000" w:usb2="00000008" w:usb3="00000000" w:csb0="00000001" w:csb1="00000000"/>
  </w:font>
  <w:font w:name="BM Hanna 11yrs Old">
    <w:altName w:val="Malgun Gothic"/>
    <w:panose1 w:val="020B0600000101010101"/>
    <w:charset w:val="81"/>
    <w:family w:val="auto"/>
    <w:pitch w:val="default"/>
    <w:sig w:usb0="00000000" w:usb1="00000000" w:usb2="00000010" w:usb3="00000000" w:csb0="00280005" w:csb1="00000000"/>
  </w:font>
  <w:font w:name="娃娃体-繁">
    <w:altName w:val="MingLiU-ExtB"/>
    <w:panose1 w:val="040B0500000000000000"/>
    <w:charset w:val="88"/>
    <w:family w:val="auto"/>
    <w:pitch w:val="default"/>
    <w:sig w:usb0="00000000" w:usb1="00000000" w:usb2="00000016" w:usb3="00000000" w:csb0="00100003" w:csb1="00000000"/>
  </w:font>
  <w:font w:name="Thonburi Regular">
    <w:altName w:val="Segoe Print"/>
    <w:panose1 w:val="00000400000000000000"/>
    <w:charset w:val="00"/>
    <w:family w:val="auto"/>
    <w:pitch w:val="default"/>
    <w:sig w:usb0="00000000" w:usb1="00000000" w:usb2="00000000" w:usb3="00000000" w:csb0="20000193" w:csb1="4D000000"/>
  </w:font>
  <w:font w:name="Telugu MN Regular">
    <w:altName w:val="Segoe Print"/>
    <w:panose1 w:val="00000500000000000000"/>
    <w:charset w:val="00"/>
    <w:family w:val="auto"/>
    <w:pitch w:val="default"/>
    <w:sig w:usb0="00000000" w:usb1="00000000" w:usb2="00000000" w:usb3="00000000" w:csb0="00000001" w:csb1="00000000"/>
  </w:font>
  <w:font w:name="Telugu Sangam MN Regular">
    <w:altName w:val="Segoe Print"/>
    <w:panose1 w:val="00000500000000000000"/>
    <w:charset w:val="00"/>
    <w:family w:val="auto"/>
    <w:pitch w:val="default"/>
    <w:sig w:usb0="00000000" w:usb1="00000000" w:usb2="00000000" w:usb3="00000000" w:csb0="00000001" w:csb1="00000000"/>
  </w:font>
  <w:font w:name="Toppan Bunkyu Gothic Regular">
    <w:altName w:val="MS UI Gothic"/>
    <w:panose1 w:val="020B0600000000000000"/>
    <w:charset w:val="80"/>
    <w:family w:val="auto"/>
    <w:pitch w:val="default"/>
    <w:sig w:usb0="00000000" w:usb1="00000000" w:usb2="00000012" w:usb3="00000000" w:csb0="2002009F" w:csb1="00000000"/>
  </w:font>
  <w:font w:name="Tahoma Bold">
    <w:altName w:val="Tahoma"/>
    <w:panose1 w:val="020B0604030504040204"/>
    <w:charset w:val="00"/>
    <w:family w:val="auto"/>
    <w:pitch w:val="default"/>
    <w:sig w:usb0="00000000" w:usb1="00000000" w:usb2="00000029" w:usb3="00000000" w:csb0="200101FF" w:csb1="20280000"/>
  </w:font>
  <w:font w:name="Tahoma Regular">
    <w:altName w:val="Tahoma"/>
    <w:panose1 w:val="020B0604030504040204"/>
    <w:charset w:val="00"/>
    <w:family w:val="auto"/>
    <w:pitch w:val="default"/>
    <w:sig w:usb0="00000000" w:usb1="00000000" w:usb2="00000029" w:usb3="00000000" w:csb0="200101FF" w:csb1="20280000"/>
  </w:font>
  <w:font w:name="Trebuchet MS Regular">
    <w:altName w:val="Trebuchet MS"/>
    <w:panose1 w:val="020B0703020202090204"/>
    <w:charset w:val="00"/>
    <w:family w:val="auto"/>
    <w:pitch w:val="default"/>
    <w:sig w:usb0="00000000" w:usb1="00000000" w:usb2="00000000" w:usb3="00000000" w:csb0="2000009F" w:csb1="00000000"/>
  </w:font>
  <w:font w:name="Trattatello">
    <w:altName w:val="Segoe Print"/>
    <w:panose1 w:val="020F0403020200020303"/>
    <w:charset w:val="00"/>
    <w:family w:val="auto"/>
    <w:pitch w:val="default"/>
    <w:sig w:usb0="00000000" w:usb1="00000000" w:usb2="00000000" w:usb3="00000000" w:csb0="2000019F" w:csb1="4F010000"/>
  </w:font>
  <w:font w:name="Telugu Sangam MN Bold">
    <w:altName w:val="Segoe Print"/>
    <w:panose1 w:val="00000500000000000000"/>
    <w:charset w:val="00"/>
    <w:family w:val="auto"/>
    <w:pitch w:val="default"/>
    <w:sig w:usb0="00000000" w:usb1="00000000" w:usb2="00000000" w:usb3="00000000" w:csb0="00000001" w:csb1="00000000"/>
  </w:font>
  <w:font w:name="Toppan Bunkyu Gothic Demibold">
    <w:altName w:val="MS UI Gothic"/>
    <w:panose1 w:val="020B0600000000000000"/>
    <w:charset w:val="80"/>
    <w:family w:val="auto"/>
    <w:pitch w:val="default"/>
    <w:sig w:usb0="00000000" w:usb1="00000000" w:usb2="00000012" w:usb3="00000000" w:csb0="2002009F" w:csb1="00000000"/>
  </w:font>
  <w:font w:name="YuKyokasho Yoko Medium">
    <w:altName w:val="MS UI Gothic"/>
    <w:panose1 w:val="02000500000000000000"/>
    <w:charset w:val="80"/>
    <w:family w:val="auto"/>
    <w:pitch w:val="default"/>
    <w:sig w:usb0="00000000" w:usb1="00000000" w:usb2="00000012" w:usb3="00000000" w:csb0="0002000D" w:csb1="00000000"/>
  </w:font>
  <w:font w:name="Savoye LET">
    <w:altName w:val="Segoe Print"/>
    <w:panose1 w:val="00000000000000000000"/>
    <w:charset w:val="00"/>
    <w:family w:val="auto"/>
    <w:pitch w:val="default"/>
    <w:sig w:usb0="00000000" w:usb1="00000000" w:usb2="00000000" w:usb3="00000000" w:csb0="2000019F" w:csb1="06000000"/>
  </w:font>
  <w:font w:name="Noteworthy Bold">
    <w:altName w:val="Eras Light ITC"/>
    <w:panose1 w:val="02000400000000000000"/>
    <w:charset w:val="00"/>
    <w:family w:val="auto"/>
    <w:pitch w:val="default"/>
    <w:sig w:usb0="00000000" w:usb1="00000000" w:usb2="14600000" w:usb3="00000000" w:csb0="20000111" w:csb1="00000000"/>
  </w:font>
  <w:font w:name="Oriya MN Regular">
    <w:altName w:val="Segoe Print"/>
    <w:panose1 w:val="00000500000000000000"/>
    <w:charset w:val="00"/>
    <w:family w:val="auto"/>
    <w:pitch w:val="default"/>
    <w:sig w:usb0="00000000" w:usb1="00000000" w:usb2="00000000" w:usb3="00000000" w:csb0="00000001" w:csb1="00000000"/>
  </w:font>
  <w:font w:name="Toppan Bunkyu Midashi Gothic">
    <w:altName w:val="MS UI Gothic"/>
    <w:panose1 w:val="020B0900000000000000"/>
    <w:charset w:val="80"/>
    <w:family w:val="auto"/>
    <w:pitch w:val="default"/>
    <w:sig w:usb0="00000000" w:usb1="00000000" w:usb2="00000012" w:usb3="00000000" w:csb0="20020005" w:csb1="00000000"/>
  </w:font>
  <w:font w:name="YuKyokasho Medium">
    <w:altName w:val="MS UI Gothic"/>
    <w:panose1 w:val="02000500000000000000"/>
    <w:charset w:val="80"/>
    <w:family w:val="auto"/>
    <w:pitch w:val="default"/>
    <w:sig w:usb0="00000000" w:usb1="00000000" w:usb2="00000012" w:usb3="00000000" w:csb0="0002000D" w:csb1="00000000"/>
  </w:font>
  <w:font w:name="STIX Two Math">
    <w:altName w:val="Segoe Print"/>
    <w:panose1 w:val="02020603050405020304"/>
    <w:charset w:val="00"/>
    <w:family w:val="auto"/>
    <w:pitch w:val="default"/>
    <w:sig w:usb0="00000000" w:usb1="00000000" w:usb2="02000020" w:usb3="00000000" w:csb0="200001FF" w:csb1="DFFF0000"/>
  </w:font>
  <w:font w:name="Toppan Bunkyu Mincho">
    <w:altName w:val="Yu Gothic UI Semilight"/>
    <w:panose1 w:val="02020400000000000000"/>
    <w:charset w:val="80"/>
    <w:family w:val="auto"/>
    <w:pitch w:val="default"/>
    <w:sig w:usb0="00000000" w:usb1="00000000" w:usb2="00000012" w:usb3="00000000" w:csb0="2002009F" w:csb1="00000000"/>
  </w:font>
  <w:font w:name="Sinhala MN Regular">
    <w:altName w:val="Segoe Print"/>
    <w:panose1 w:val="00000500000000000000"/>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MS PMincho">
    <w:altName w:val="MS Mincho"/>
    <w:panose1 w:val="02020600040205080304"/>
    <w:charset w:val="80"/>
    <w:family w:val="auto"/>
    <w:pitch w:val="default"/>
    <w:sig w:usb0="E00002FF" w:usb1="6AC7FDFB" w:usb2="00000012" w:usb3="00000000" w:csb0="4002009F" w:csb1="DFD70000"/>
  </w:font>
  <w:font w:name="Eras Light ITC">
    <w:panose1 w:val="020B0402030504020804"/>
    <w:charset w:val="00"/>
    <w:family w:val="auto"/>
    <w:pitch w:val="default"/>
    <w:sig w:usb0="00000003" w:usb1="00000000" w:usb2="00000000" w:usb3="00000000" w:csb0="20000001" w:csb1="00000000"/>
  </w:font>
  <w:font w:name="GulimChe">
    <w:altName w:val="Malgun Gothic"/>
    <w:panose1 w:val="020B0609000101010101"/>
    <w:charset w:val="81"/>
    <w:family w:val="auto"/>
    <w:pitch w:val="default"/>
    <w:sig w:usb0="B00002AF" w:usb1="69D77CFB" w:usb2="00000030" w:usb3="00000000" w:csb0="4008009F" w:csb1="DFD70000"/>
  </w:font>
  <w:font w:name="MingLiU">
    <w:altName w:val="PMingLiU-ExtB"/>
    <w:panose1 w:val="02020509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8000012" w:usb3="00000000" w:csb0="4002009F" w:csb1="DFD70000"/>
  </w:font>
  <w:font w:name="Trebuchet MS">
    <w:panose1 w:val="020B0603020202020204"/>
    <w:charset w:val="00"/>
    <w:family w:val="auto"/>
    <w:pitch w:val="default"/>
    <w:sig w:usb0="00000687" w:usb1="00000000" w:usb2="00000000" w:usb3="00000000" w:csb0="2000009F" w:csb1="00000000"/>
  </w:font>
  <w:font w:name="Simplified Arabic">
    <w:altName w:val="Times New Roman"/>
    <w:panose1 w:val="02020603050405020304"/>
    <w:charset w:val="00"/>
    <w:family w:val="auto"/>
    <w:pitch w:val="default"/>
    <w:sig w:usb0="00002003" w:usb1="00000000" w:usb2="00000000" w:usb3="00000000" w:csb0="00000041" w:csb1="20080000"/>
  </w:font>
  <w:font w:name="Segoe UI Symbol">
    <w:panose1 w:val="020B0502040204020203"/>
    <w:charset w:val="00"/>
    <w:family w:val="auto"/>
    <w:pitch w:val="default"/>
    <w:sig w:usb0="800001E3" w:usb1="1200FFEF" w:usb2="00040000" w:usb3="04000000" w:csb0="00000001" w:csb1="40000000"/>
  </w:font>
  <w:font w:name="Microsoft Sans Serif">
    <w:panose1 w:val="020B0604020202020204"/>
    <w:charset w:val="00"/>
    <w:family w:val="auto"/>
    <w:pitch w:val="default"/>
    <w:sig w:usb0="E5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00"/>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 w:name="MS Mincho">
    <w:panose1 w:val="02020609040205080304"/>
    <w:charset w:val="00"/>
    <w:family w:val="auto"/>
    <w:pitch w:val="default"/>
    <w:sig w:usb0="A00002BF" w:usb1="68C7FCFB" w:usb2="00000010" w:usb3="00000000" w:csb0="4002009F" w:csb1="DFD70000"/>
  </w:font>
  <w:font w:name="Malgun Gothic">
    <w:panose1 w:val="020B0503020000020004"/>
    <w:charset w:val="00"/>
    <w:family w:val="auto"/>
    <w:pitch w:val="default"/>
    <w:sig w:usb0="9000002F" w:usb1="29D77CFB" w:usb2="00000012" w:usb3="00000000" w:csb0="00080001" w:csb1="00000000"/>
  </w:font>
  <w:font w:name="MingLiU-ExtB">
    <w:panose1 w:val="02020500000000000000"/>
    <w:charset w:val="00"/>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00"/>
    <w:family w:val="auto"/>
    <w:pitch w:val="default"/>
    <w:sig w:usb0="E00002FF" w:usb1="2AC7FDFF" w:usb2="00000016" w:usb3="00000000" w:csb0="2002009F" w:csb1="00000000"/>
  </w:font>
  <w:font w:name="MS Mincho">
    <w:panose1 w:val="02020609040205080304"/>
    <w:charset w:val="00"/>
    <w:family w:val="auto"/>
    <w:pitch w:val="default"/>
    <w:sig w:usb0="A00002BF" w:usb1="68C7FCFB" w:usb2="00000010" w:usb3="00000000" w:csb0="4002009F" w:csb1="DFD70000"/>
  </w:font>
  <w:font w:name="Malgun Gothic">
    <w:panose1 w:val="020B0503020000020004"/>
    <w:charset w:val="00"/>
    <w:family w:val="auto"/>
    <w:pitch w:val="default"/>
    <w:sig w:usb0="9000002F" w:usb1="29D77CFB" w:usb2="00000012" w:usb3="00000000" w:csb0="00080001" w:csb1="00000000"/>
  </w:font>
  <w:font w:name="PMingLiU-ExtB">
    <w:panose1 w:val="02020500000000000000"/>
    <w:charset w:val="00"/>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8764068">
    <w:nsid w:val="68D49C24"/>
    <w:multiLevelType w:val="singleLevel"/>
    <w:tmpl w:val="68D49C24"/>
    <w:lvl w:ilvl="0" w:tentative="1">
      <w:start w:val="1"/>
      <w:numFmt w:val="decimal"/>
      <w:suff w:val="nothing"/>
      <w:lvlText w:val="%1."/>
      <w:lvlJc w:val="left"/>
    </w:lvl>
  </w:abstractNum>
  <w:abstractNum w:abstractNumId="1758765262">
    <w:nsid w:val="68D4A0CE"/>
    <w:multiLevelType w:val="singleLevel"/>
    <w:tmpl w:val="68D4A0CE"/>
    <w:lvl w:ilvl="0" w:tentative="1">
      <w:start w:val="3"/>
      <w:numFmt w:val="decimal"/>
      <w:suff w:val="nothing"/>
      <w:lvlText w:val="%1."/>
      <w:lvlJc w:val="left"/>
    </w:lvl>
  </w:abstractNum>
  <w:abstractNum w:abstractNumId="1758781895">
    <w:nsid w:val="68D4E1C7"/>
    <w:multiLevelType w:val="singleLevel"/>
    <w:tmpl w:val="68D4E1C7"/>
    <w:lvl w:ilvl="0" w:tentative="1">
      <w:start w:val="5"/>
      <w:numFmt w:val="decimal"/>
      <w:suff w:val="nothing"/>
      <w:lvlText w:val="%1."/>
      <w:lvlJc w:val="left"/>
    </w:lvl>
  </w:abstractNum>
  <w:num w:numId="1">
    <w:abstractNumId w:val="1758764068"/>
  </w:num>
  <w:num w:numId="2">
    <w:abstractNumId w:val="1758765262"/>
  </w:num>
  <w:num w:numId="3">
    <w:abstractNumId w:val="17587818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1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unhideWhenUsed/>
    <w:qFormat/>
    <w:uiPriority w:val="1"/>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19">
    <w:name w:val="page number"/>
    <w:basedOn w:val="18"/>
    <w:qFormat/>
    <w:uiPriority w:val="0"/>
    <w:rPr/>
  </w:style>
  <w:style w:type="character" w:styleId="20">
    <w:name w:val="Hyperlink"/>
    <w:basedOn w:val="18"/>
    <w:qFormat/>
    <w:uiPriority w:val="0"/>
    <w:rPr>
      <w:color w:val="0000FF"/>
      <w:u w:val="single"/>
    </w:rPr>
  </w:style>
  <w:style w:type="paragraph" w:customStyle="1" w:styleId="21">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customStyle="1" w:styleId="22">
    <w:name w:val="List Paragraph"/>
    <w:basedOn w:val="1"/>
    <w:qFormat/>
    <w:uiPriority w:val="0"/>
    <w:pPr>
      <w:ind w:firstLine="420" w:firstLineChars="200"/>
    </w:pPr>
  </w:style>
  <w:style w:type="paragraph" w:customStyle="1" w:styleId="23">
    <w:name w:val="MsoNormal"/>
    <w:basedOn w:val="1"/>
    <w:qFormat/>
    <w:uiPriority w:val="0"/>
  </w:style>
  <w:style w:type="character" w:customStyle="1" w:styleId="24">
    <w:name w:val="标题 4 Char Char"/>
    <w:basedOn w:val="18"/>
    <w:link w:val="5"/>
    <w:uiPriority w:val="0"/>
    <w:rPr>
      <w:rFonts w:ascii="Cambria" w:hAnsi="Cambria"/>
      <w:b/>
      <w:bCs/>
      <w:kern w:val="2"/>
      <w:sz w:val="28"/>
      <w:szCs w:val="28"/>
    </w:rPr>
  </w:style>
  <w:style w:type="character" w:customStyle="1" w:styleId="25">
    <w:name w:val="无间隔 Char"/>
    <w:link w:val="21"/>
    <w:qFormat/>
    <w:locked/>
    <w:uiPriority w:val="0"/>
    <w:rPr>
      <w:rFonts w:eastAsia="仿宋_GB2312"/>
      <w:sz w:val="30"/>
      <w:szCs w:val="22"/>
      <w:lang w:bidi="ar-SA"/>
    </w:rPr>
  </w:style>
  <w:style w:type="character" w:customStyle="1" w:styleId="26">
    <w:name w:val="页脚 Char Char"/>
    <w:basedOn w:val="18"/>
    <w:link w:val="11"/>
    <w:uiPriority w:val="0"/>
    <w:rPr>
      <w:kern w:val="2"/>
      <w:sz w:val="18"/>
      <w:szCs w:val="18"/>
    </w:rPr>
  </w:style>
  <w:style w:type="character" w:customStyle="1" w:styleId="27">
    <w:name w:val="标题 3 Char Char"/>
    <w:basedOn w:val="18"/>
    <w:link w:val="4"/>
    <w:uiPriority w:val="0"/>
    <w:rPr>
      <w:b/>
      <w:bCs/>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Words>
  <Characters>40</Characters>
  <Lines>1</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2025-09-26T01:45:37Z</dcterms:modified>
  <dc:title>××年度××部门/单位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2052-9.1.0.4337</vt:lpwstr>
  </property>
  <property fmtid="{D5CDD505-2E9C-101B-9397-08002B2CF9AE}" pid="4" name="KSOTemplateDocerSaveRecord">
    <vt:lpwstr>eyJoZGlkIjoiN2YzNjBkOTgyNWQ1YTMxYzM3MzMwNWFiODNmOWIzYWMiLCJ1c2VySWQiOiI4MDUyMTE2MjkifQ==</vt:lpwstr>
  </property>
</Properties>
</file>