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年度中共赤峰市松山区</w:t>
      </w:r>
      <w:bookmarkStart w:id="1" w:name="_GoBack"/>
      <w:bookmarkEnd w:id="1"/>
      <w:r>
        <w:rPr>
          <w:rFonts w:hint="eastAsia" w:ascii="宋体" w:hAnsi="宋体"/>
          <w:b/>
          <w:bCs/>
          <w:sz w:val="52"/>
          <w:szCs w:val="52"/>
        </w:rPr>
        <w:t>委员会政法委员会</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（1）深入贯彻落实党中央关于政法工作的路线方针政策和决策部署，坚持党对政法工作的绝对领导，统一政法各部门思想和行动，坚决维护党中央权威和集中统一领。</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（2）负统筹研究部署全区政法工作，推进平安松山、法治松山建设，加强过硬政法队伍建设，深化智能化建设，坚决维护国家政治安全，确保全区社会大局稳定，促进社会公平正义，保障人民安居乐业。</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3）负了解掌握和分析研判全区政法工作情动态，分析评估全区社会稳定形势，创新完善多部门参与的社会治安综合治理和维护稳定工作机制，协调推动预防、化解影响稳定的社会矛盾和风险，协调应对和处置重大突发事件。</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（4）加强对全区政法工作的监督，统筹协调全区社会治安综合治理、维护社会稳定、反邪教有关法律法规政策的实施工作。</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（5）组织开展政法领域的调查研究，研究拟订全区政法工作的政策和措施，及时向区委提出建议。</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（6）掌握分析政法情动态，指导协调政法各部门媒体网络宣传工作，指导政法各部门做好涉及政法工作的重大宣传工作。</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（7）监督和支持政法各部门依法行使职权，指导和协调政法各部门密切配合，研究和协调重大、疑难件，推进严格执法、公正司法。</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（8）协调推动深化司法体制改草工作，组织研究全区政法改革中带有方向性、倾向性和普遍性的重大问题，深化政法改革。</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（9）指导协调推动“雪亮工程”、大数据、人工智能等全区政法、社会治安综合治理信息化建设</w:t>
      </w:r>
    </w:p>
    <w:p>
      <w:pPr>
        <w:widowControl/>
        <w:spacing w:before="240" w:after="240"/>
        <w:ind w:firstLine="420" w:firstLineChars="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（10）指导推动全区政法系统党的建设和政法队伍建设。管理区法学会。</w:t>
      </w:r>
    </w:p>
    <w:p>
      <w:pPr>
        <w:widowControl/>
        <w:spacing w:before="240" w:after="240"/>
        <w:ind w:firstLine="420" w:firstLineChars="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rPr>
        <w:t>（11）完成区委交办的其他任务。</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pPr>
        <w:widowControl/>
        <w:spacing w:before="240" w:after="240"/>
        <w:rPr>
          <w:rFonts w:hint="eastAsia" w:ascii="Times New Roman" w:hAnsi="Times New Roman" w:eastAsia="仿宋_GB2312" w:cs="Times New Roman"/>
          <w:kern w:val="0"/>
          <w:sz w:val="24"/>
          <w:lang w:eastAsia="zh-CN"/>
        </w:rPr>
      </w:pPr>
      <w:r>
        <w:rPr>
          <w:rFonts w:ascii="times_new_roman" w:hAnsi="times_new_roman" w:eastAsia="times_new_roman" w:cs="times_new_roman"/>
          <w:kern w:val="0"/>
          <w:sz w:val="27"/>
          <w:szCs w:val="27"/>
        </w:rPr>
        <w:t xml:space="preserve">    </w:t>
      </w:r>
      <w:r>
        <w:rPr>
          <w:rFonts w:hint="eastAsia" w:ascii="times_new_roman" w:hAnsi="times_new_roman" w:cs="times_new_roman"/>
          <w:kern w:val="0"/>
          <w:sz w:val="27"/>
          <w:szCs w:val="27"/>
          <w:lang w:val="en-US" w:eastAsia="zh-CN"/>
        </w:rPr>
        <w:t>1</w:t>
      </w:r>
      <w:r>
        <w:rPr>
          <w:rFonts w:ascii="仿宋_GB2312" w:hAnsi="仿宋_GB2312" w:eastAsia="仿宋_GB2312" w:cs="仿宋_GB2312"/>
          <w:kern w:val="0"/>
          <w:sz w:val="27"/>
          <w:szCs w:val="27"/>
        </w:rPr>
        <w:t>.根据部门（单位）职责分工，本部门（单位）内设机构包括</w:t>
      </w:r>
      <w:r>
        <w:rPr>
          <w:rFonts w:hint="eastAsia" w:ascii="仿宋_GB2312" w:hAnsi="仿宋_GB2312" w:eastAsia="仿宋_GB2312" w:cs="仿宋_GB2312"/>
          <w:kern w:val="0"/>
          <w:sz w:val="27"/>
          <w:szCs w:val="27"/>
        </w:rPr>
        <w:t>中共赤峰市松山区委员会政法委员会</w:t>
      </w:r>
      <w:r>
        <w:rPr>
          <w:rFonts w:ascii="仿宋_GB2312" w:hAnsi="仿宋_GB2312" w:eastAsia="仿宋_GB2312" w:cs="仿宋_GB2312"/>
          <w:kern w:val="0"/>
          <w:sz w:val="27"/>
          <w:szCs w:val="27"/>
        </w:rPr>
        <w:t>。本部门（单位）下属单位包括：本部门（单位）无下属单位</w:t>
      </w:r>
      <w:r>
        <w:rPr>
          <w:rFonts w:hint="eastAsia" w:ascii="仿宋_GB2312" w:hAnsi="仿宋_GB2312" w:eastAsia="仿宋_GB2312" w:cs="仿宋_GB2312"/>
          <w:kern w:val="0"/>
          <w:sz w:val="27"/>
          <w:szCs w:val="27"/>
          <w:lang w:eastAsia="zh-CN"/>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.从决算单位构成看，纳入本部门（单位）决算编制范围的预算单位共计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rPr>
        <w:t>中共赤峰市松山区委员会政法委员会</w:t>
      </w:r>
      <w:r>
        <w:rPr>
          <w:rFonts w:ascii="仿宋_GB2312" w:hAnsi="仿宋_GB2312" w:eastAsia="仿宋_GB2312" w:cs="仿宋_GB2312"/>
          <w:kern w:val="0"/>
          <w:sz w:val="27"/>
          <w:szCs w:val="27"/>
        </w:rPr>
        <w:t>。详细情况见表：</w:t>
      </w: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rPr>
              <w:t>中共赤峰市松山区委员会政法委员会</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bl>
    <w:p>
      <w:pPr>
        <w:widowControl/>
        <w:spacing w:before="240" w:after="240"/>
        <w:jc w:val="left"/>
        <w:rPr>
          <w:rFonts w:ascii="Calibri" w:hAnsi="Calibri" w:eastAsia="Calibri" w:cs="Calibri"/>
          <w:b/>
          <w:bCs/>
          <w:kern w:val="0"/>
          <w:sz w:val="27"/>
          <w:szCs w:val="27"/>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pPr>
        <w:widowControl/>
        <w:spacing w:before="240" w:after="240"/>
        <w:ind w:firstLine="420" w:firstLineChars="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rPr>
        <w:t>以习近平新时代中国特色社会主义思想为指导，深入贯彻落实党的二十大精神，深刻领悟“两个确立”的决定性意义，增强“四个意识”、坚定“四个自信”、做到“两个维护”，坚持党对政法工作的绝对领导，坚持以人民为中心的发展思想，坚持稳中求进工作总基调，坚持统筹发展和安全，紧紧围绕落实习近平总书记交给内蒙古的“五大任务”，认真落实建设“六个赤峰”目标要求，努力打造更高水平的平安松山、法治松山，以政法工作现代化服务保障松山区全面现代化建设。持续巩固全国市域社会治理现代化试点合格城市建设成果，努力为提升社会治理水平，探索推行基层社会治理“微治理”模式</w:t>
      </w:r>
      <w:r>
        <w:rPr>
          <w:rFonts w:hint="eastAsia" w:ascii="仿宋_GB2312" w:hAnsi="仿宋_GB2312" w:eastAsia="仿宋_GB2312" w:cs="仿宋_GB2312"/>
          <w:color w:val="000000"/>
          <w:kern w:val="0"/>
          <w:sz w:val="27"/>
          <w:szCs w:val="27"/>
          <w:lang w:eastAsia="zh-CN"/>
        </w:rPr>
        <w:t>。</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中共赤峰市松山区委员会政法委员会 2024年度收入、支出决算总计均为</w:t>
      </w:r>
      <w:r>
        <w:rPr>
          <w:rFonts w:eastAsia="Times New Roman"/>
          <w:color w:val="000000"/>
          <w:kern w:val="0"/>
          <w:sz w:val="27"/>
          <w:szCs w:val="27"/>
          <w:u w:val="single" w:color="000000"/>
        </w:rPr>
        <w:t xml:space="preserve"> 395.54</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88.59</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18.30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本年度部分项目结转到下年</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21.21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5.67</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395.54</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395.54</w:t>
      </w:r>
      <w:r>
        <w:rPr>
          <w:rFonts w:ascii="仿宋_GB2312" w:hAnsi="仿宋_GB2312" w:eastAsia="仿宋_GB2312" w:cs="仿宋_GB2312"/>
          <w:color w:val="000000"/>
          <w:kern w:val="0"/>
          <w:sz w:val="27"/>
          <w:szCs w:val="27"/>
        </w:rPr>
        <w:t>万元。与上年决算相比，增加</w:t>
      </w:r>
      <w:r>
        <w:rPr>
          <w:rFonts w:hint="eastAsia" w:ascii="仿宋_GB2312" w:hAnsi="仿宋_GB2312" w:eastAsia="仿宋_GB2312" w:cs="仿宋_GB2312"/>
          <w:color w:val="000000"/>
          <w:kern w:val="0"/>
          <w:sz w:val="27"/>
          <w:szCs w:val="27"/>
          <w:lang w:val="en-US" w:eastAsia="zh-CN"/>
        </w:rPr>
        <w:t xml:space="preserve"> </w:t>
      </w:r>
      <w:r>
        <w:rPr>
          <w:rFonts w:ascii="times_new_roman" w:hAnsi="times_new_roman" w:eastAsia="times_new_roman" w:cs="times_new_roman"/>
          <w:color w:val="000000"/>
          <w:kern w:val="0"/>
          <w:sz w:val="27"/>
          <w:szCs w:val="27"/>
          <w:u w:val="single" w:color="000000"/>
        </w:rPr>
        <w:t>21.21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5.67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上年度结转项目较多，故支出项增加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单位不涉及此项支出</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单位不涉及此项支出</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395.54</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395.54</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21.21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5.67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上年度结转项目较多，故支出项增加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395.54</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395.54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64.75pt;width:423.6pt;" filled="f" o:preferrelative="t" stroked="f" coordsize="21600,21600">
            <v:path/>
            <v:fill on="f" focussize="0,0"/>
            <v:stroke on="f"/>
            <v:imagedata r:id="rId6" o:title=""/>
            <o:lock v:ext="edit" aspectratio="t"/>
            <w10:wrap type="none"/>
            <w10:anchorlock/>
          </v:shape>
        </w:pic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Calibri" w:hAnsi="Calibri" w:eastAsia="Calibri" w:cs="Calibri"/>
          <w:b/>
          <w:bCs/>
          <w:kern w:val="0"/>
          <w:sz w:val="27"/>
          <w:szCs w:val="27"/>
        </w:rPr>
      </w:pPr>
    </w:p>
    <w:p>
      <w:pPr>
        <w:widowControl/>
        <w:spacing w:before="240" w:after="240"/>
        <w:jc w:val="left"/>
        <w:rPr>
          <w:rFonts w:ascii="Calibri" w:hAnsi="Calibri" w:eastAsia="Calibri" w:cs="Calibri"/>
          <w:b/>
          <w:bCs/>
          <w:kern w:val="0"/>
          <w:sz w:val="27"/>
          <w:szCs w:val="27"/>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2024年度本年支出决算合计</w:t>
      </w:r>
      <w:r>
        <w:rPr>
          <w:rFonts w:ascii="times_new_roman" w:hAnsi="times_new_roman" w:eastAsia="times_new_roman" w:cs="times_new_roman"/>
          <w:color w:val="000000"/>
          <w:kern w:val="0"/>
          <w:sz w:val="27"/>
          <w:szCs w:val="27"/>
          <w:u w:val="single" w:color="000000"/>
        </w:rPr>
        <w:t> 395.54</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275.90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69.75</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119.63</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30.25</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45.1pt;width:392.1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Calibri" w:hAnsi="Calibri" w:eastAsia="Calibri" w:cs="Calibri"/>
          <w:b/>
          <w:bCs/>
          <w:kern w:val="0"/>
          <w:sz w:val="27"/>
          <w:szCs w:val="27"/>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395.54</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 88.59</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18.30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财政年初预算减少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21.21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5.67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上年度结转项目较多，故支出项增加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395.54</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484.13</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81.70</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204.20</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15.07</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w:t>
      </w:r>
      <w:r>
        <w:rPr>
          <w:rFonts w:hint="eastAsia" w:ascii="仿宋_GB2312" w:hAnsi="仿宋_GB2312" w:eastAsia="仿宋_GB2312" w:cs="仿宋_GB2312"/>
          <w:color w:val="000000"/>
          <w:kern w:val="0"/>
          <w:sz w:val="27"/>
          <w:szCs w:val="27"/>
        </w:rPr>
        <w:t>政府办公厅（室）及相关机构事务</w:t>
      </w:r>
      <w:r>
        <w:rPr>
          <w:rFonts w:ascii="仿宋_GB2312" w:hAnsi="仿宋_GB2312" w:eastAsia="仿宋_GB2312" w:cs="仿宋_GB2312"/>
          <w:color w:val="000000"/>
          <w:kern w:val="0"/>
          <w:sz w:val="27"/>
          <w:szCs w:val="27"/>
        </w:rPr>
        <w:t>（款）</w:t>
      </w:r>
      <w:r>
        <w:rPr>
          <w:rFonts w:hint="eastAsia" w:ascii="仿宋_GB2312" w:hAnsi="仿宋_GB2312" w:eastAsia="仿宋_GB2312" w:cs="仿宋_GB2312"/>
          <w:color w:val="000000"/>
          <w:kern w:val="0"/>
          <w:sz w:val="27"/>
          <w:szCs w:val="27"/>
        </w:rPr>
        <w:t>行政运行</w:t>
      </w:r>
      <w:r>
        <w:rPr>
          <w:rFonts w:ascii="仿宋_GB2312" w:hAnsi="仿宋_GB2312" w:eastAsia="仿宋_GB2312" w:cs="仿宋_GB2312"/>
          <w:color w:val="000000"/>
          <w:kern w:val="0"/>
          <w:sz w:val="27"/>
          <w:szCs w:val="27"/>
        </w:rPr>
        <w:t>（项）。年初预算</w:t>
      </w:r>
      <w:r>
        <w:rPr>
          <w:rFonts w:hint="eastAsia" w:ascii="times_new_roman" w:hAnsi="times_new_roman" w:cs="times_new_roman"/>
          <w:color w:val="000000"/>
          <w:kern w:val="0"/>
          <w:sz w:val="27"/>
          <w:szCs w:val="27"/>
          <w:u w:val="single" w:color="000000"/>
          <w:lang w:val="en-US" w:eastAsia="zh-CN"/>
        </w:rPr>
        <w:t>174.27</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159.2</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91.35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有部分项目结转到下年度支付</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2</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其他共产党事务支出</w:t>
      </w:r>
      <w:r>
        <w:rPr>
          <w:rFonts w:ascii="仿宋_GB2312" w:hAnsi="仿宋_GB2312" w:eastAsia="仿宋_GB2312" w:cs="仿宋_GB2312"/>
          <w:color w:val="000000"/>
          <w:kern w:val="0"/>
          <w:sz w:val="27"/>
          <w:szCs w:val="27"/>
        </w:rPr>
        <w:t>（款）</w:t>
      </w:r>
      <w:r>
        <w:rPr>
          <w:rFonts w:hint="eastAsia" w:ascii="仿宋_GB2312" w:hAnsi="仿宋_GB2312" w:eastAsia="仿宋_GB2312" w:cs="仿宋_GB2312"/>
          <w:color w:val="000000"/>
          <w:kern w:val="0"/>
          <w:sz w:val="27"/>
          <w:szCs w:val="27"/>
        </w:rPr>
        <w:t>一般行政管理事务</w:t>
      </w:r>
      <w:r>
        <w:rPr>
          <w:rFonts w:ascii="仿宋_GB2312" w:hAnsi="仿宋_GB2312" w:eastAsia="仿宋_GB2312" w:cs="仿宋_GB2312"/>
          <w:color w:val="000000"/>
          <w:kern w:val="0"/>
          <w:sz w:val="27"/>
          <w:szCs w:val="27"/>
        </w:rPr>
        <w:t>（项）。年初预算</w:t>
      </w:r>
      <w:r>
        <w:rPr>
          <w:rFonts w:hint="eastAsia" w:ascii="times_new_roman" w:hAnsi="times_new_roman" w:cs="times_new_roman"/>
          <w:color w:val="000000"/>
          <w:kern w:val="0"/>
          <w:sz w:val="27"/>
          <w:szCs w:val="27"/>
          <w:u w:val="single" w:color="000000"/>
          <w:lang w:val="en-US" w:eastAsia="zh-CN"/>
        </w:rPr>
        <w:t>45</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45</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121.20</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33.10</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1．公安（款）行政运行（项）。年初预算</w:t>
      </w:r>
      <w:r>
        <w:rPr>
          <w:rFonts w:hint="eastAsia" w:ascii="times_new_roman" w:hAnsi="times_new_roman" w:cs="times_new_roman"/>
          <w:color w:val="000000"/>
          <w:kern w:val="0"/>
          <w:sz w:val="27"/>
          <w:szCs w:val="27"/>
          <w:u w:val="single" w:color="000000"/>
          <w:lang w:val="en-US" w:eastAsia="zh-CN"/>
        </w:rPr>
        <w:t>47.3</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46.56</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98.44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正常剩余</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2</w:t>
      </w:r>
      <w:r>
        <w:rPr>
          <w:rFonts w:ascii="仿宋_GB2312" w:hAnsi="仿宋_GB2312" w:eastAsia="仿宋_GB2312" w:cs="仿宋_GB2312"/>
          <w:color w:val="000000"/>
          <w:kern w:val="0"/>
          <w:sz w:val="27"/>
          <w:szCs w:val="27"/>
        </w:rPr>
        <w:t>．公安（款）</w:t>
      </w:r>
      <w:r>
        <w:rPr>
          <w:rFonts w:hint="eastAsia" w:ascii="仿宋_GB2312" w:hAnsi="仿宋_GB2312" w:eastAsia="仿宋_GB2312" w:cs="仿宋_GB2312"/>
          <w:color w:val="000000"/>
          <w:kern w:val="0"/>
          <w:sz w:val="27"/>
          <w:szCs w:val="27"/>
        </w:rPr>
        <w:t>一般行政管理事务</w:t>
      </w:r>
      <w:r>
        <w:rPr>
          <w:rFonts w:ascii="仿宋_GB2312" w:hAnsi="仿宋_GB2312" w:eastAsia="仿宋_GB2312" w:cs="仿宋_GB2312"/>
          <w:color w:val="000000"/>
          <w:kern w:val="0"/>
          <w:sz w:val="27"/>
          <w:szCs w:val="27"/>
        </w:rPr>
        <w:t>（项）。年初预算</w:t>
      </w:r>
      <w:r>
        <w:rPr>
          <w:rFonts w:hint="eastAsia" w:ascii="times_new_roman" w:hAnsi="times_new_roman" w:cs="times_new_roman"/>
          <w:color w:val="000000"/>
          <w:kern w:val="0"/>
          <w:sz w:val="27"/>
          <w:szCs w:val="27"/>
          <w:u w:val="single" w:color="000000"/>
          <w:lang w:val="en-US" w:eastAsia="zh-CN"/>
        </w:rPr>
        <w:t>107</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74.63</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69.75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正常剩余</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33.52</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26.95</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39.96</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26.09</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65.29</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本年度人员有变动情况</w:t>
      </w:r>
      <w:r>
        <w:rPr>
          <w:rFonts w:ascii="仿宋_GB2312" w:hAnsi="仿宋_GB2312" w:eastAsia="仿宋_GB2312" w:cs="仿宋_GB2312"/>
          <w:color w:val="000000"/>
          <w:kern w:val="0"/>
          <w:sz w:val="27"/>
          <w:szCs w:val="27"/>
        </w:rPr>
        <w:t>。</w:t>
      </w:r>
    </w:p>
    <w:p>
      <w:pPr>
        <w:widowControl/>
        <w:spacing w:before="240" w:after="240"/>
        <w:ind w:firstLine="360"/>
        <w:jc w:val="left"/>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2</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行政事业单位养老支出（款）机关事业单位职业年金缴费支出（项）。年初预算</w:t>
      </w:r>
      <w:r>
        <w:rPr>
          <w:rFonts w:hint="eastAsia" w:ascii="times_new_roman" w:hAnsi="times_new_roman" w:cs="times_new_roman"/>
          <w:color w:val="000000"/>
          <w:kern w:val="0"/>
          <w:sz w:val="27"/>
          <w:szCs w:val="27"/>
          <w:u w:val="single" w:color="000000"/>
          <w:lang w:val="en-US" w:eastAsia="zh-CN"/>
        </w:rPr>
        <w:t>19.98</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7.34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36.74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本年度人员有变动情况</w:t>
      </w:r>
      <w:r>
        <w:rPr>
          <w:rFonts w:ascii="仿宋_GB2312" w:hAnsi="仿宋_GB2312" w:eastAsia="仿宋_GB2312" w:cs="仿宋_GB2312"/>
          <w:color w:val="000000"/>
          <w:kern w:val="0"/>
          <w:sz w:val="27"/>
          <w:szCs w:val="27"/>
        </w:rPr>
        <w:t>。</w:t>
      </w:r>
    </w:p>
    <w:p>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3</w:t>
      </w:r>
      <w:r>
        <w:rPr>
          <w:rFonts w:ascii="times_new_roman" w:hAnsi="times_new_roman" w:eastAsia="times_new_roman" w:cs="times_new_roman"/>
          <w:color w:val="000000"/>
          <w:kern w:val="0"/>
          <w:sz w:val="27"/>
          <w:szCs w:val="27"/>
        </w:rPr>
        <w:t>．</w:t>
      </w:r>
      <w:r>
        <w:rPr>
          <w:rFonts w:hint="eastAsia" w:ascii="仿宋_GB2312" w:hAnsi="仿宋_GB2312" w:eastAsia="仿宋_GB2312" w:cs="仿宋_GB2312"/>
          <w:color w:val="000000"/>
          <w:kern w:val="0"/>
          <w:sz w:val="27"/>
          <w:szCs w:val="27"/>
        </w:rPr>
        <w:t>其他社会保障和就业支出</w:t>
      </w:r>
      <w:r>
        <w:rPr>
          <w:rFonts w:ascii="仿宋_GB2312" w:hAnsi="仿宋_GB2312" w:eastAsia="仿宋_GB2312" w:cs="仿宋_GB2312"/>
          <w:color w:val="000000"/>
          <w:kern w:val="0"/>
          <w:sz w:val="27"/>
          <w:szCs w:val="27"/>
        </w:rPr>
        <w:t>（款）</w:t>
      </w:r>
      <w:r>
        <w:rPr>
          <w:rFonts w:hint="eastAsia" w:ascii="仿宋_GB2312" w:hAnsi="仿宋_GB2312" w:eastAsia="仿宋_GB2312" w:cs="仿宋_GB2312"/>
          <w:color w:val="000000"/>
          <w:kern w:val="0"/>
          <w:sz w:val="27"/>
          <w:szCs w:val="27"/>
        </w:rPr>
        <w:t>其他社会保障和就业支出</w:t>
      </w:r>
      <w:r>
        <w:rPr>
          <w:rFonts w:ascii="仿宋_GB2312" w:hAnsi="仿宋_GB2312" w:eastAsia="仿宋_GB2312" w:cs="仿宋_GB2312"/>
          <w:color w:val="000000"/>
          <w:kern w:val="0"/>
          <w:sz w:val="27"/>
          <w:szCs w:val="27"/>
        </w:rPr>
        <w:t>（项）。年初预算</w:t>
      </w:r>
      <w:r>
        <w:rPr>
          <w:rFonts w:hint="eastAsia" w:ascii="times_new_roman" w:hAnsi="times_new_roman" w:cs="times_new_roman"/>
          <w:color w:val="000000"/>
          <w:kern w:val="0"/>
          <w:sz w:val="27"/>
          <w:szCs w:val="27"/>
          <w:u w:val="single" w:color="000000"/>
          <w:lang w:val="en-US" w:eastAsia="zh-CN"/>
        </w:rPr>
        <w:t>0.53</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0.09</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16.98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本年度人员有变动情况</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13.37</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-5.07</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行政事业单位医疗（款）行政单位医疗（项）。年初预算</w:t>
      </w:r>
      <w:r>
        <w:rPr>
          <w:rFonts w:hint="eastAsia" w:ascii="times_new_roman" w:hAnsi="times_new_roman" w:cs="times_new_roman"/>
          <w:color w:val="000000"/>
          <w:kern w:val="0"/>
          <w:sz w:val="27"/>
          <w:szCs w:val="27"/>
          <w:u w:val="single" w:color="000000"/>
          <w:lang w:val="en-US" w:eastAsia="zh-CN"/>
        </w:rPr>
        <w:t>18.44</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13.37</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72.51</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本年度人员有变动情况</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23.25</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-8.40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31.65</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23.25</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73.5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本年度人员有变动情况</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2024年度一般公共预算财政拨款基本支出决算</w:t>
      </w:r>
      <w:r>
        <w:rPr>
          <w:rFonts w:ascii="times_new_roman" w:hAnsi="times_new_roman" w:eastAsia="times_new_roman" w:cs="times_new_roman"/>
          <w:color w:val="000000"/>
          <w:kern w:val="0"/>
          <w:sz w:val="27"/>
          <w:szCs w:val="27"/>
          <w:u w:val="single" w:color="000000"/>
        </w:rPr>
        <w:t> 275.90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268.81</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。主要包括：基本工资、津贴补贴、奖金、绩效工资、机关事业单位基本养老保险缴费、职业年金缴费、职工基本医疗保险缴费、住房公积金等。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7.10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其他交通费用等。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119.63</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119.63</w:t>
      </w:r>
      <w:r>
        <w:rPr>
          <w:rFonts w:ascii="仿宋_GB2312" w:hAnsi="仿宋_GB2312" w:eastAsia="仿宋_GB2312" w:cs="仿宋_GB2312"/>
          <w:color w:val="000000"/>
          <w:kern w:val="0"/>
          <w:sz w:val="27"/>
          <w:szCs w:val="27"/>
        </w:rPr>
        <w:t>万元。主要包括：办公费、印刷费等。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八、财政拨款“三公”经费支出决算情况说明</w:t>
      </w:r>
    </w:p>
    <w:p>
      <w:pPr>
        <w:widowControl/>
        <w:spacing w:before="240" w:after="240"/>
        <w:ind w:firstLine="420" w:firstLineChars="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本年度单位不涉及该项支出</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pPr>
        <w:widowControl/>
        <w:spacing w:before="240" w:after="240"/>
        <w:jc w:val="left"/>
        <w:rPr>
          <w:rFonts w:ascii="Calibri" w:hAnsi="Calibri" w:eastAsia="Calibri" w:cs="Calibri"/>
          <w:b/>
          <w:bCs/>
          <w:kern w:val="0"/>
          <w:sz w:val="27"/>
          <w:szCs w:val="27"/>
        </w:rPr>
      </w:pPr>
    </w:p>
    <w:p>
      <w:pPr>
        <w:widowControl/>
        <w:spacing w:before="240" w:after="240"/>
        <w:jc w:val="left"/>
        <w:rPr>
          <w:rFonts w:ascii="Calibri" w:hAnsi="Calibri" w:eastAsia="Calibri" w:cs="Calibri"/>
          <w:b/>
          <w:bCs/>
          <w:kern w:val="0"/>
          <w:sz w:val="27"/>
          <w:szCs w:val="27"/>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。其中：</w:t>
      </w:r>
    </w:p>
    <w:p>
      <w:pPr>
        <w:widowControl/>
        <w:spacing w:before="240" w:after="240"/>
        <w:ind w:firstLine="420" w:firstLineChars="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本年无政府性基金预算财政拨款收、支、余。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pStyle w:val="28"/>
        <w:widowControl/>
        <w:spacing w:before="240" w:after="240" w:line="560" w:lineRule="atLeast"/>
        <w:ind w:firstLine="6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ind w:firstLine="420" w:firstLineChars="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本年无国有资本经营预算财政拨款收、支、余。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2024年度公用经费支出决算</w:t>
      </w:r>
      <w:r>
        <w:rPr>
          <w:rFonts w:eastAsia="Times New Roman"/>
          <w:color w:val="000000"/>
          <w:kern w:val="0"/>
          <w:sz w:val="27"/>
          <w:szCs w:val="27"/>
          <w:u w:val="single" w:color="000000"/>
        </w:rPr>
        <w:t xml:space="preserve"> 7.10</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 xml:space="preserve"> 5.61</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44.17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遵循节约开支的响应，减少非必要支出</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7.10</w:t>
      </w:r>
      <w:r>
        <w:rPr>
          <w:rFonts w:ascii="仿宋_GB2312" w:hAnsi="仿宋_GB2312" w:eastAsia="仿宋_GB2312" w:cs="仿宋_GB2312"/>
          <w:color w:val="000000"/>
          <w:kern w:val="0"/>
          <w:sz w:val="27"/>
          <w:szCs w:val="27"/>
        </w:rPr>
        <w:t>万元。比上年决算相比，减少</w:t>
      </w:r>
      <w:r>
        <w:rPr>
          <w:rFonts w:eastAsia="Times New Roman"/>
          <w:color w:val="000000"/>
          <w:kern w:val="0"/>
          <w:sz w:val="27"/>
          <w:szCs w:val="27"/>
          <w:u w:val="single" w:color="000000"/>
        </w:rPr>
        <w:t xml:space="preserve"> 5.61</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44.17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遵循节约开支的响应，减少非必要支出</w:t>
      </w:r>
      <w:r>
        <w:rPr>
          <w:rFonts w:ascii="仿宋_GB2312" w:hAnsi="仿宋_GB2312" w:eastAsia="仿宋_GB2312" w:cs="仿宋_GB2312"/>
          <w:color w:val="000000"/>
          <w:kern w:val="0"/>
          <w:sz w:val="27"/>
          <w:szCs w:val="27"/>
        </w:rPr>
        <w:t>。</w:t>
      </w:r>
    </w:p>
    <w:p>
      <w:pPr>
        <w:widowControl/>
        <w:spacing w:before="240" w:after="240"/>
        <w:rPr>
          <w:rFonts w:ascii="Calibri" w:hAnsi="Calibri" w:eastAsia="Calibri" w:cs="Calibri"/>
          <w:b/>
          <w:bCs/>
          <w:kern w:val="0"/>
          <w:sz w:val="27"/>
          <w:szCs w:val="27"/>
        </w:rPr>
      </w:pPr>
    </w:p>
    <w:p>
      <w:pPr>
        <w:widowControl/>
        <w:spacing w:before="240" w:after="240"/>
        <w:rPr>
          <w:rFonts w:ascii="Calibri" w:hAnsi="Calibri" w:eastAsia="Calibri" w:cs="Calibri"/>
          <w:b/>
          <w:bCs/>
          <w:kern w:val="0"/>
          <w:sz w:val="27"/>
          <w:szCs w:val="27"/>
        </w:rPr>
      </w:pP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中共赤峰市松山区委员会政法委员会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中共赤峰市松山区委员会政法委员会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5</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131.8</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0</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中共赤峰市松山区委员会政法委员会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5</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cs="times_new_roman"/>
          <w:color w:val="000000"/>
          <w:kern w:val="0"/>
          <w:sz w:val="27"/>
          <w:szCs w:val="27"/>
          <w:u w:val="single" w:color="000000"/>
          <w:lang w:val="en-US" w:eastAsia="zh-CN"/>
        </w:rPr>
        <w:t>5</w:t>
      </w:r>
      <w:r>
        <w:rPr>
          <w:rFonts w:ascii="仿宋_GB2312" w:hAnsi="仿宋_GB2312" w:eastAsia="仿宋_GB2312" w:cs="仿宋_GB2312"/>
          <w:color w:val="000000"/>
          <w:kern w:val="0"/>
          <w:sz w:val="27"/>
          <w:szCs w:val="27"/>
        </w:rPr>
        <w:t>个项目的绩效自评结果。</w:t>
      </w:r>
    </w:p>
    <w:p>
      <w:pPr>
        <w:widowControl/>
        <w:numPr>
          <w:ilvl w:val="0"/>
          <w:numId w:val="1"/>
        </w:numPr>
        <w:spacing w:before="240" w:after="240"/>
        <w:ind w:firstLine="42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二十大维稳经费项目自评综述：根据年初设定的绩效目标，项目自评得分100分。全年预算数为45万元，执行数为45万元，完成预算的100%。项目绩效目标完成情况：资金主要用于首都护城河工作和各进京通道卡口保障二十大维稳经费。发现的主要问题及原因：无。下一步改进措施：继续严格按照相关管理制度要求，严格规范使用项目资金，做到来源清楚、去向明确，进一步提高资金使用的规范性。</w:t>
      </w:r>
    </w:p>
    <w:p>
      <w:pPr>
        <w:widowControl/>
        <w:numPr>
          <w:ilvl w:val="0"/>
          <w:numId w:val="1"/>
        </w:numPr>
        <w:spacing w:before="240" w:after="240"/>
        <w:ind w:firstLine="42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平安建设经费项目自评综述：根据年初设定的绩效目标，项目自评得分97.8分。全年预算数为32.94万元，执行数为25.69万元，完成预算的77.99%。项目绩效目标完成情况：为保证《意见》得到有效贯彻落实和平安建设深入开展为有关工作做到足额保障。做到创建一个，达标一个，命名一个。发现的主要问题及原因：预算未全部支出，实际略有剩余。下一步改进措施：继续严格按照相关管理制度要求，严格规范使用项目资金，做到来源清楚、去向明确，进一步提高资金使用的规范性。</w:t>
      </w:r>
    </w:p>
    <w:p>
      <w:pPr>
        <w:widowControl/>
        <w:numPr>
          <w:ilvl w:val="0"/>
          <w:numId w:val="1"/>
        </w:numPr>
        <w:spacing w:before="240" w:after="240"/>
        <w:ind w:firstLine="42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市域社会治理现代化项目自评综述：根据年初设定的绩效目标，项目自评得分99.87分。全年预算数为13万元，执行数为12.83万元，完成预算的98.69%。项目绩效目标完成情况：按照党中央的决策部署和上级党委政法委的要求，党的十九届四中全会提出加快推进市域社会治理现代化，根据党和上级文件指示，申请本年度资金。发现的主要问题及原因：预算未全部支出，实际略有剩余。下一步改进措施：继续严格按照相关管理制度要求，严格规范使用项目资金，做到来源清楚、去向明确，进一步提高资金使用的规范性。</w:t>
      </w:r>
    </w:p>
    <w:p>
      <w:pPr>
        <w:widowControl/>
        <w:numPr>
          <w:ilvl w:val="0"/>
          <w:numId w:val="1"/>
        </w:numPr>
        <w:spacing w:before="240" w:after="240"/>
        <w:ind w:firstLine="42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市域社会治理现代化项目自评综述：根据年初设定的绩效目标，项目自评得分97.35分。全年预算数为8.86万元，执行数为6.51万元，完成预算的73.48%。项目绩效目标完成情况：该项目用于宣传培训依法严惩黑暗势力，回应人民期待，巩固执政根基，维护社会稳定。发现的主要问题及原因：预算未全部支出，实际略有剩余。下一步改进措施：继续严格按照相关管理制度要求，严格规范使用项目资金，做到来源清楚、去向明确，进一步提高资金使用的规范性。</w:t>
      </w:r>
    </w:p>
    <w:p>
      <w:pPr>
        <w:widowControl/>
        <w:numPr>
          <w:ilvl w:val="0"/>
          <w:numId w:val="1"/>
        </w:numPr>
        <w:spacing w:before="240" w:after="240"/>
        <w:ind w:firstLine="42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平安建设春节慰问基层政法单位及基层治理项目自评综述：根据年初设定的绩效目标，项目自评得分98.75分。全年预算数为32万元，执行数为28万元，完成预算的87.5%。项目绩效目标完成情况：保障单位日常运转，提高预算编制质量，严格执行预算。发现的主要问题及原因：预算未全部支出，实际略有剩余。下一步改进措施：继续严格按照相关管理制度要求，严格规范使用项目资金，做到来源清楚、去向明确，进一步提高资金使用的规范性。</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hint="eastAsia" w:ascii="仿宋_GB2312" w:hAnsi="仿宋_GB2312" w:eastAsia="仿宋_GB2312" w:cs="仿宋_GB2312"/>
          <w:color w:val="000000"/>
          <w:kern w:val="0"/>
          <w:sz w:val="27"/>
          <w:szCs w:val="27"/>
          <w:lang w:val="en-US" w:eastAsia="zh-CN"/>
        </w:rPr>
        <w:t>二十大维稳经费</w:t>
      </w:r>
      <w:r>
        <w:rPr>
          <w:rFonts w:ascii="仿宋_GB2312" w:hAnsi="仿宋_GB2312" w:eastAsia="仿宋_GB2312" w:cs="仿宋_GB2312"/>
          <w:kern w:val="0"/>
          <w:sz w:val="27"/>
          <w:szCs w:val="27"/>
        </w:rPr>
        <w:t>项目为例，该项目绩效评价综合得分为</w:t>
      </w:r>
      <w:r>
        <w:rPr>
          <w:rFonts w:hint="eastAsia" w:ascii="times_new_roman" w:hAnsi="times_new_roman" w:cs="times_new_roman"/>
          <w:kern w:val="0"/>
          <w:sz w:val="27"/>
          <w:szCs w:val="27"/>
          <w:u w:val="single"/>
          <w:lang w:val="en-US" w:eastAsia="zh-CN"/>
        </w:rPr>
        <w:t>100</w:t>
      </w:r>
      <w:r>
        <w:rPr>
          <w:rFonts w:ascii="仿宋_GB2312" w:hAnsi="仿宋_GB2312" w:eastAsia="仿宋_GB2312" w:cs="仿宋_GB2312"/>
          <w:kern w:val="0"/>
          <w:sz w:val="27"/>
          <w:szCs w:val="27"/>
        </w:rPr>
        <w:t>分，绩效评价结果为“优”。部门项目绩效评价得分情况详见部门（单位）具体绩效评价结果。</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hint="eastAsia" w:ascii="仿宋_GB2312" w:hAnsi="仿宋_GB2312" w:eastAsia="仿宋_GB2312" w:cs="仿宋_GB2312"/>
          <w:kern w:val="0"/>
          <w:sz w:val="27"/>
          <w:szCs w:val="27"/>
          <w:lang w:val="en-US" w:eastAsia="zh-CN"/>
        </w:rPr>
        <w:t>于艳红</w:t>
      </w:r>
      <w:r>
        <w:rPr>
          <w:rFonts w:ascii="仿宋_GB2312" w:hAnsi="仿宋_GB2312" w:eastAsia="仿宋_GB2312" w:cs="仿宋_GB2312"/>
          <w:kern w:val="0"/>
          <w:sz w:val="27"/>
          <w:szCs w:val="27"/>
        </w:rPr>
        <w:t>          联系电话：</w:t>
      </w:r>
      <w:r>
        <w:rPr>
          <w:rFonts w:hint="eastAsia" w:ascii="仿宋_GB2312" w:hAnsi="仿宋_GB2312" w:eastAsia="仿宋_GB2312" w:cs="仿宋_GB2312"/>
          <w:kern w:val="0"/>
          <w:sz w:val="27"/>
          <w:szCs w:val="27"/>
          <w:u w:val="single"/>
          <w:lang w:val="en-US" w:eastAsia="zh-CN"/>
        </w:rPr>
        <w:t>15147678193</w:t>
      </w:r>
      <w:r>
        <w:rPr>
          <w:rFonts w:ascii="仿宋_GB2312" w:hAnsi="仿宋_GB2312" w:eastAsia="仿宋_GB2312" w:cs="仿宋_GB2312"/>
          <w:kern w:val="0"/>
          <w:sz w:val="27"/>
          <w:szCs w:val="27"/>
          <w:u w:val="single"/>
        </w:rPr>
        <w:t>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FB330"/>
    <w:multiLevelType w:val="singleLevel"/>
    <w:tmpl w:val="B8FFB3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NWQzZDM4ODg3MmI3ZjFkMzQ4YmM5ODJhZDBmYT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8A4FA6"/>
    <w:rsid w:val="01DD1FBD"/>
    <w:rsid w:val="0C3A0517"/>
    <w:rsid w:val="1A034BDC"/>
    <w:rsid w:val="1BED62CB"/>
    <w:rsid w:val="212C54EC"/>
    <w:rsid w:val="35F70480"/>
    <w:rsid w:val="3C4F35E6"/>
    <w:rsid w:val="3F924CDE"/>
    <w:rsid w:val="429B0D1F"/>
    <w:rsid w:val="42E84746"/>
    <w:rsid w:val="49A325A9"/>
    <w:rsid w:val="4A4937B0"/>
    <w:rsid w:val="4B7B541E"/>
    <w:rsid w:val="51CD438B"/>
    <w:rsid w:val="53067768"/>
    <w:rsid w:val="53710392"/>
    <w:rsid w:val="650D2F30"/>
    <w:rsid w:val="66E00DC2"/>
    <w:rsid w:val="7558350E"/>
    <w:rsid w:val="7F89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8169</Words>
  <Characters>8694</Characters>
  <Lines>1</Lines>
  <Paragraphs>1</Paragraphs>
  <TotalTime>0</TotalTime>
  <ScaleCrop>false</ScaleCrop>
  <LinksUpToDate>false</LinksUpToDate>
  <CharactersWithSpaces>9322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2025-09-26T06:38:51Z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2052-11.1.0.14309</vt:lpwstr>
  </property>
  <property fmtid="{D5CDD505-2E9C-101B-9397-08002B2CF9AE}" pid="4" name="KSOTemplateDocerSaveRecord">
    <vt:lpwstr>eyJoZGlkIjoiN2YzNjBkOTgyNWQ1YTMxYzM3MzMwNWFiODNmOWIzYWMiLCJ1c2VySWQiOiI4MDUyMTE2MjkifQ==</vt:lpwstr>
  </property>
</Properties>
</file>