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年度赤峰市松山区第三幼儿园</w:t>
      </w:r>
    </w:p>
    <w:p w14:paraId="77E6C3D2">
      <w:pPr>
        <w:spacing w:line="360" w:lineRule="auto"/>
        <w:jc w:val="center"/>
        <w:rPr>
          <w:rFonts w:ascii="宋体" w:hAnsi="宋体"/>
          <w:b/>
          <w:bCs/>
          <w:sz w:val="52"/>
          <w:szCs w:val="52"/>
        </w:rPr>
      </w:pP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6552A8EB">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7F3CEF0D">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14:paraId="0DDF9AA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321307C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14:paraId="73C58BE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14:paraId="3CB6FB60">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14:paraId="09F570A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2CB3F97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5A8B09B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567D48C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2AFD507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3C93544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26DBE11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4F1AD36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599527E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0C6118A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6A5EBA1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608A46F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737EBA3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4D25B0E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39CB2731">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10DFC9F0">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0A99F745">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14:paraId="44789FA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605D1EF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054646C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3FDBFAA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15B31F8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6A57AF4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014B28D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3395D2F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179D9CF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124EF4F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04CD858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38ED1628">
      <w:pPr>
        <w:widowControl/>
        <w:spacing w:before="240" w:after="240"/>
        <w:rPr>
          <w:rFonts w:ascii="Times New Roman" w:hAnsi="Times New Roman" w:eastAsia="Times New Roman" w:cs="Times New Roman"/>
          <w:kern w:val="0"/>
          <w:sz w:val="24"/>
        </w:rPr>
      </w:pPr>
    </w:p>
    <w:p w14:paraId="4B9D0C3F">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14:paraId="7C3CF7D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233D2C9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主要职能：</w:t>
      </w:r>
      <w:r>
        <w:rPr>
          <w:rFonts w:ascii="仿宋_GB2312" w:hAnsi="仿宋_GB2312" w:eastAsia="仿宋_GB2312" w:cs="仿宋_GB2312"/>
          <w:kern w:val="0"/>
          <w:sz w:val="27"/>
          <w:szCs w:val="27"/>
        </w:rPr>
        <w:fldChar w:fldCharType="begin"/>
      </w:r>
      <w:r>
        <w:rPr>
          <w:rFonts w:ascii="仿宋_GB2312" w:hAnsi="仿宋_GB2312" w:eastAsia="仿宋_GB2312" w:cs="仿宋_GB2312"/>
          <w:kern w:val="0"/>
          <w:sz w:val="27"/>
          <w:szCs w:val="27"/>
        </w:rPr>
        <w:instrText xml:space="preserve"> HYPERLINK "file:////opt/store/upload/gfa/wordPrint/2025-05-29/赤峰市松山区第三幼儿园是由赤峰市教育和科技局主管的学校，担负着实施幼儿保育，幼儿教育的事业单位。主要职责是：全面贯彻执行党的教育方针、政策、法规以及上级教育行政部门的决议、指示，坚持教育的社会主义方向，坚持依法治校，坚持按教育规律办好学校，为社会主义的" </w:instrText>
      </w:r>
      <w:r>
        <w:rPr>
          <w:rFonts w:ascii="仿宋_GB2312" w:hAnsi="仿宋_GB2312" w:eastAsia="仿宋_GB2312" w:cs="仿宋_GB2312"/>
          <w:kern w:val="0"/>
          <w:sz w:val="27"/>
          <w:szCs w:val="27"/>
        </w:rPr>
        <w:fldChar w:fldCharType="separate"/>
      </w:r>
      <w:r>
        <w:rPr>
          <w:rFonts w:ascii="仿宋_GB2312" w:hAnsi="仿宋_GB2312" w:eastAsia="仿宋_GB2312" w:cs="仿宋_GB2312"/>
          <w:kern w:val="0"/>
          <w:sz w:val="27"/>
          <w:szCs w:val="27"/>
        </w:rPr>
        <w:t>赤峰市松山区第三幼儿园是由赤峰市教育和科技局主管的学校，担负着实施幼儿保育，幼儿教育的事业单位。主要职责是：全面贯彻执行党的教育方针、政策、法规以及上级教育行政部门的决议、指示，坚持教育的社会主义方向，坚持依法治校，坚持按教育规律办好学校，为社会主义的“两个文明”建设服务。</w:t>
      </w:r>
      <w:r>
        <w:rPr>
          <w:rFonts w:ascii="仿宋_GB2312" w:hAnsi="仿宋_GB2312" w:eastAsia="仿宋_GB2312" w:cs="仿宋_GB2312"/>
          <w:kern w:val="0"/>
          <w:sz w:val="27"/>
          <w:szCs w:val="27"/>
        </w:rPr>
        <w:fldChar w:fldCharType="end"/>
      </w:r>
    </w:p>
    <w:p w14:paraId="77C4A834">
      <w:pPr>
        <w:pStyle w:val="28"/>
        <w:widowControl/>
        <w:spacing w:before="240" w:after="240" w:line="600" w:lineRule="atLeast"/>
        <w:ind w:firstLine="640"/>
        <w:rPr>
          <w:rFonts w:ascii="Times New Roman" w:hAnsi="Times New Roman" w:eastAsia="Times New Roman" w:cs="Times New Roman"/>
          <w:kern w:val="0"/>
          <w:sz w:val="24"/>
        </w:rPr>
      </w:pPr>
    </w:p>
    <w:p w14:paraId="6B93E4E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二、部门（单位）机构设置及决算单位构成情况</w:t>
      </w:r>
    </w:p>
    <w:p w14:paraId="7D8436F0">
      <w:pPr>
        <w:keepNext w:val="0"/>
        <w:keepLines w:val="0"/>
        <w:pageBreakBefore w:val="0"/>
        <w:widowControl/>
        <w:kinsoku/>
        <w:wordWrap/>
        <w:overflowPunct/>
        <w:topLinePunct w:val="0"/>
        <w:autoSpaceDE/>
        <w:autoSpaceDN/>
        <w:bidi w:val="0"/>
        <w:adjustRightInd/>
        <w:snapToGrid/>
        <w:spacing w:before="240" w:after="240" w:line="570" w:lineRule="exact"/>
        <w:ind w:firstLine="540" w:firstLineChars="200"/>
        <w:textAlignment w:val="auto"/>
        <w:rPr>
          <w:rFonts w:hint="eastAsia" w:ascii="仿宋_GB2312" w:hAnsi="仿宋_GB2312" w:eastAsia="仿宋_GB2312" w:cs="仿宋_GB2312"/>
          <w:kern w:val="0"/>
          <w:sz w:val="28"/>
          <w:szCs w:val="28"/>
        </w:rPr>
      </w:pPr>
      <w:r>
        <w:rPr>
          <w:rFonts w:ascii="times_new_roman" w:hAnsi="times_new_roman" w:eastAsia="times_new_roman" w:cs="times_new_roman"/>
          <w:kern w:val="0"/>
          <w:sz w:val="27"/>
          <w:szCs w:val="27"/>
        </w:rPr>
        <w:t xml:space="preserve">  </w:t>
      </w:r>
      <w:r>
        <w:rPr>
          <w:rFonts w:hint="eastAsia" w:ascii="仿宋_GB2312" w:hAnsi="仿宋_GB2312" w:eastAsia="仿宋_GB2312" w:cs="仿宋_GB2312"/>
          <w:kern w:val="0"/>
          <w:sz w:val="28"/>
          <w:szCs w:val="28"/>
        </w:rPr>
        <w:t>1.根据单位职责分工，本单位内设机构包括保教处、总务处、办公室等。本单位无下属单位。</w:t>
      </w:r>
    </w:p>
    <w:p w14:paraId="06E40558">
      <w:pPr>
        <w:keepNext w:val="0"/>
        <w:keepLines w:val="0"/>
        <w:pageBreakBefore w:val="0"/>
        <w:widowControl/>
        <w:kinsoku/>
        <w:wordWrap/>
        <w:overflowPunct/>
        <w:topLinePunct w:val="0"/>
        <w:autoSpaceDE/>
        <w:autoSpaceDN/>
        <w:bidi w:val="0"/>
        <w:adjustRightInd/>
        <w:snapToGrid/>
        <w:spacing w:before="240" w:after="240" w:line="57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2.从决算单位构成看，纳入本部门汇总决算编制范围的预算单位共计1家，具体包括：赤峰市松山区第</w:t>
      </w:r>
      <w:r>
        <w:rPr>
          <w:rFonts w:hint="eastAsia" w:ascii="仿宋_GB2312" w:hAnsi="仿宋_GB2312" w:eastAsia="仿宋_GB2312" w:cs="仿宋_GB2312"/>
          <w:kern w:val="0"/>
          <w:sz w:val="28"/>
          <w:szCs w:val="28"/>
          <w:lang w:eastAsia="zh-CN"/>
        </w:rPr>
        <w:t>三</w:t>
      </w:r>
      <w:r>
        <w:rPr>
          <w:rFonts w:hint="eastAsia" w:ascii="仿宋_GB2312" w:hAnsi="仿宋_GB2312" w:eastAsia="仿宋_GB2312" w:cs="仿宋_GB2312"/>
          <w:kern w:val="0"/>
          <w:sz w:val="28"/>
          <w:szCs w:val="28"/>
        </w:rPr>
        <w:t>幼儿园。</w:t>
      </w:r>
    </w:p>
    <w:tbl>
      <w:tblPr>
        <w:tblStyle w:val="18"/>
        <w:tblW w:w="11790"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14:paraId="434113B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091E899">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62E5B836">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2E18801">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14:paraId="7473DF6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E3638FA">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5EC5AE9">
            <w:pPr>
              <w:widowControl/>
              <w:jc w:val="left"/>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s="仿宋_GB2312"/>
                <w:kern w:val="0"/>
                <w:sz w:val="28"/>
                <w:szCs w:val="28"/>
              </w:rPr>
              <w:t>赤峰市松山区第</w:t>
            </w:r>
            <w:r>
              <w:rPr>
                <w:rFonts w:hint="eastAsia" w:ascii="仿宋_GB2312" w:hAnsi="仿宋_GB2312" w:eastAsia="仿宋_GB2312" w:cs="仿宋_GB2312"/>
                <w:kern w:val="0"/>
                <w:sz w:val="28"/>
                <w:szCs w:val="28"/>
                <w:lang w:eastAsia="zh-CN"/>
              </w:rPr>
              <w:t>三</w:t>
            </w:r>
            <w:r>
              <w:rPr>
                <w:rFonts w:hint="eastAsia" w:ascii="仿宋_GB2312" w:hAnsi="仿宋_GB2312" w:eastAsia="仿宋_GB2312" w:cs="仿宋_GB2312"/>
                <w:kern w:val="0"/>
                <w:sz w:val="28"/>
                <w:szCs w:val="28"/>
              </w:rPr>
              <w:t>幼儿园</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5B58F52">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公益二类事业单位</w:t>
            </w:r>
          </w:p>
        </w:tc>
      </w:tr>
    </w:tbl>
    <w:p w14:paraId="5E4B18A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三、2024年度部门（单位）主要工作完成情况</w:t>
      </w:r>
    </w:p>
    <w:p w14:paraId="2A3CCFF2">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xml:space="preserve">  </w:t>
      </w: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HYPERLINK "file:////opt/store/upload/gfa/wordPrint/2025-05-29/ %201.2024年度，本校牢固树立以质量求生存、以质量求发展的理念，不断加强教研教学工作，着力提升教学质量。教育教学质量进一步提高，办学水平和办学质量得到社会和教育主管部门的肯定。经过全体教职工的努力，赤峰市松山区第十二幼儿园办学条件达到了较高的水平。%20%20%20%20%202．进一步改善办学、教学、办公条件，不断提升学校物化环境品位，营造温馨怡人的校园环境，提高师生工作、学习和生活质量。%203．强化校园网络管理，丰富资源，不断提高信息资源和信息技术手段在教学与管理中的应用率和应用水平；坚持实用性、时效性和灵活性的原则，积累形成我校自己的学科教学软件，实现多媒体与课堂教学的有机融合，信息技术与学科课程的全面整合，提高数字化校园建设水平。%204．加强内部资金管理，使有限的资金发挥较大的效益。严格执行《行政事业单位会计制度》，坚持以执行预算为中心，以节约费用为重点，本着"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kern w:val="0"/>
          <w:sz w:val="28"/>
          <w:szCs w:val="28"/>
        </w:rPr>
        <w:t>  1.2024年度，本校牢固树立以质量求生存、以质量求发展的理念，不断加强教研教学工作，着力提升教学质量。教育教学质量进一步提高，办学水平和办学质量得到社会和教育主管部门的肯定。经过全体教职工的努力，赤峰市松山区第</w:t>
      </w:r>
      <w:r>
        <w:rPr>
          <w:rFonts w:hint="eastAsia" w:ascii="仿宋_GB2312" w:hAnsi="仿宋_GB2312" w:eastAsia="仿宋_GB2312" w:cs="仿宋_GB2312"/>
          <w:kern w:val="0"/>
          <w:sz w:val="28"/>
          <w:szCs w:val="28"/>
          <w:lang w:eastAsia="zh-CN"/>
        </w:rPr>
        <w:t>三</w:t>
      </w:r>
      <w:r>
        <w:rPr>
          <w:rFonts w:hint="eastAsia" w:ascii="仿宋_GB2312" w:hAnsi="仿宋_GB2312" w:eastAsia="仿宋_GB2312" w:cs="仿宋_GB2312"/>
          <w:kern w:val="0"/>
          <w:sz w:val="28"/>
          <w:szCs w:val="28"/>
        </w:rPr>
        <w:t>幼儿园办学条件达到了较高的水平。 2．进一步改善办学、教学、办公条件，不断提升学校物化环境品位，营造温馨怡人的校园环境，提高师生工作、学习和生活质量。 3．强化校园网络管理，丰富资源，不断提高信息资源和信息技术手段在教学与管理中的应用率和应用水平；坚持实用性、时效性和灵活性的原则，积累形成我校自己的学科教学软件，实现多媒体与课堂教学的有机融合，信息技术与学科课程的全面整合，提高数字化校园建设水平。 4．加强内部资金管理，使有限的资金发挥较大的效益。严格执行《行政事业单位会计制度》，坚持以执行预算为中心，以节约费用为重点，本着“稳妥可靠、节约开支、量入为出、收支平衡”的原则认真编制预算。公用经费的使用本着优先保证教育工作正常的开展，抓好单位财务管理工作，较好完成了各项工作任务。充分发挥财务领导小组的职能作用，增强财务管理的透明度；要增强勤俭节约意识，特别是要做好校内的节水节电教育，形成“戒奢以俭”的良好风气。 5．要加强校园建设和管理。根据校内实际认真制定年度校内建设和维修计划，并认真管理好现有的校内设施设备，充分发挥现有设施设备的服务功能，提高使用效率。</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 xml:space="preserve">    </w:t>
      </w:r>
    </w:p>
    <w:p w14:paraId="6747F5D2">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14:paraId="2516551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309DF37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4291BF6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赤峰市松山区第三幼儿园 2024年度收入、支出决算总计均为</w:t>
      </w:r>
      <w:r>
        <w:rPr>
          <w:rFonts w:eastAsia="Times New Roman"/>
          <w:color w:val="000000"/>
          <w:kern w:val="0"/>
          <w:sz w:val="27"/>
          <w:szCs w:val="27"/>
          <w:u w:val="single" w:color="000000"/>
        </w:rPr>
        <w:t xml:space="preserve"> 486.88</w:t>
      </w:r>
      <w:r>
        <w:rPr>
          <w:rFonts w:ascii="仿宋_GB2312" w:hAnsi="仿宋_GB2312" w:eastAsia="仿宋_GB2312" w:cs="仿宋_GB2312"/>
          <w:color w:val="000000"/>
          <w:kern w:val="0"/>
          <w:sz w:val="27"/>
          <w:szCs w:val="27"/>
        </w:rPr>
        <w:t>万元。与年初预算相比，收、支总计各增加（减少）</w:t>
      </w:r>
      <w:r>
        <w:rPr>
          <w:rFonts w:eastAsia="Times New Roman"/>
          <w:color w:val="000000"/>
          <w:kern w:val="0"/>
          <w:sz w:val="27"/>
          <w:szCs w:val="27"/>
          <w:u w:val="single" w:color="000000"/>
        </w:rPr>
        <w:t xml:space="preserve"> -58.48</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-10.72</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8"/>
          <w:szCs w:val="28"/>
          <w:u w:val="none"/>
          <w:lang w:val="en-US" w:eastAsia="zh-CN"/>
        </w:rPr>
        <w:t>由于部分预算项目未实施，导致2024年支出较年初预算减少</w:t>
      </w:r>
      <w:r>
        <w:rPr>
          <w:rFonts w:ascii="仿宋_GB2312" w:hAnsi="仿宋_GB2312" w:eastAsia="仿宋_GB2312" w:cs="仿宋_GB2312"/>
          <w:color w:val="000000"/>
          <w:kern w:val="0"/>
          <w:sz w:val="27"/>
          <w:szCs w:val="27"/>
        </w:rPr>
        <w:t>；与上年决算相比，收、支总计各增加（减少）</w:t>
      </w:r>
      <w:r>
        <w:rPr>
          <w:rFonts w:eastAsia="Times New Roman"/>
          <w:color w:val="000000"/>
          <w:kern w:val="0"/>
          <w:sz w:val="27"/>
          <w:szCs w:val="27"/>
          <w:u w:val="single" w:color="000000"/>
        </w:rPr>
        <w:t xml:space="preserve"> -79.79</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-14.08</w:t>
      </w:r>
      <w:r>
        <w:rPr>
          <w:rFonts w:ascii="仿宋_GB2312" w:hAnsi="仿宋_GB2312" w:eastAsia="仿宋_GB2312" w:cs="仿宋_GB2312"/>
          <w:color w:val="000000"/>
          <w:kern w:val="0"/>
          <w:sz w:val="27"/>
          <w:szCs w:val="27"/>
        </w:rPr>
        <w:t>%。其中：</w:t>
      </w:r>
    </w:p>
    <w:p w14:paraId="3091E4F9">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486.88</w:t>
      </w:r>
      <w:r>
        <w:rPr>
          <w:rFonts w:ascii="kai_ti_gb2312" w:hAnsi="kai_ti_gb2312" w:eastAsia="kai_ti_gb2312" w:cs="kai_ti_gb2312"/>
          <w:b/>
          <w:bCs/>
          <w:color w:val="000000"/>
          <w:kern w:val="0"/>
          <w:sz w:val="27"/>
          <w:szCs w:val="27"/>
        </w:rPr>
        <w:t>万元。包括：</w:t>
      </w:r>
    </w:p>
    <w:p w14:paraId="3A2DE58E">
      <w:pPr>
        <w:widowControl/>
        <w:spacing w:before="240" w:after="240"/>
        <w:rPr>
          <w:rFonts w:hint="eastAsia" w:ascii="Times New Roman" w:hAnsi="Times New Roman" w:eastAsia="仿宋_GB2312" w:cs="Times New Roman"/>
          <w:kern w:val="0"/>
          <w:sz w:val="24"/>
          <w:lang w:eastAsia="zh-CN"/>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486.88</w:t>
      </w:r>
      <w:r>
        <w:rPr>
          <w:rFonts w:ascii="仿宋_GB2312" w:hAnsi="仿宋_GB2312" w:eastAsia="仿宋_GB2312" w:cs="仿宋_GB2312"/>
          <w:color w:val="000000"/>
          <w:kern w:val="0"/>
          <w:sz w:val="27"/>
          <w:szCs w:val="27"/>
        </w:rPr>
        <w:t>万元。与上年决算相比，增加（减少）</w:t>
      </w:r>
      <w:r>
        <w:rPr>
          <w:rFonts w:ascii="times_new_roman" w:hAnsi="times_new_roman" w:eastAsia="times_new_roman" w:cs="times_new_roman"/>
          <w:color w:val="000000"/>
          <w:kern w:val="0"/>
          <w:sz w:val="27"/>
          <w:szCs w:val="27"/>
          <w:u w:val="single" w:color="000000"/>
        </w:rPr>
        <w:t> -79.79</w:t>
      </w:r>
      <w:r>
        <w:rPr>
          <w:rFonts w:ascii="仿宋_GB2312" w:hAnsi="仿宋_GB2312" w:eastAsia="仿宋_GB2312" w:cs="仿宋_GB2312"/>
          <w:color w:val="000000"/>
          <w:kern w:val="0"/>
          <w:sz w:val="27"/>
          <w:szCs w:val="27"/>
        </w:rPr>
        <w:t>万元，增长（下降）</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-14.08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专项资金减少，部分专项资金未支付。</w:t>
      </w:r>
    </w:p>
    <w:p w14:paraId="1D8A43C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8"/>
          <w:szCs w:val="28"/>
          <w:u w:val="none"/>
          <w:lang w:val="en-US" w:eastAsia="zh-CN"/>
        </w:rPr>
        <w:t>不存在此项内容</w:t>
      </w:r>
      <w:r>
        <w:rPr>
          <w:rFonts w:ascii="仿宋_GB2312" w:hAnsi="仿宋_GB2312" w:eastAsia="仿宋_GB2312" w:cs="仿宋_GB2312"/>
          <w:color w:val="000000"/>
          <w:kern w:val="0"/>
          <w:sz w:val="27"/>
          <w:szCs w:val="27"/>
        </w:rPr>
        <w:t>。</w:t>
      </w:r>
    </w:p>
    <w:p w14:paraId="7DE56A4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8"/>
          <w:szCs w:val="28"/>
          <w:u w:val="none"/>
          <w:lang w:val="en-US" w:eastAsia="zh-CN"/>
        </w:rPr>
        <w:t>不存在此项内容</w:t>
      </w:r>
      <w:r>
        <w:rPr>
          <w:rFonts w:ascii="仿宋_GB2312" w:hAnsi="仿宋_GB2312" w:eastAsia="仿宋_GB2312" w:cs="仿宋_GB2312"/>
          <w:color w:val="000000"/>
          <w:kern w:val="0"/>
          <w:sz w:val="27"/>
          <w:szCs w:val="27"/>
        </w:rPr>
        <w:t>。</w:t>
      </w:r>
    </w:p>
    <w:p w14:paraId="0513DA05">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486.88</w:t>
      </w:r>
      <w:r>
        <w:rPr>
          <w:rFonts w:ascii="kai_ti_gb2312" w:hAnsi="kai_ti_gb2312" w:eastAsia="kai_ti_gb2312" w:cs="kai_ti_gb2312"/>
          <w:b/>
          <w:bCs/>
          <w:color w:val="000000"/>
          <w:kern w:val="0"/>
          <w:sz w:val="27"/>
          <w:szCs w:val="27"/>
        </w:rPr>
        <w:t>万元。包括：</w:t>
      </w:r>
    </w:p>
    <w:p w14:paraId="67F0FF50">
      <w:pPr>
        <w:widowControl/>
        <w:spacing w:before="240" w:after="240"/>
        <w:ind w:firstLine="420"/>
        <w:rPr>
          <w:rFonts w:hint="eastAsia" w:ascii="仿宋_GB2312" w:hAnsi="仿宋_GB2312" w:eastAsia="仿宋_GB2312" w:cs="仿宋_GB2312"/>
          <w:color w:val="000000"/>
          <w:kern w:val="0"/>
          <w:sz w:val="27"/>
          <w:szCs w:val="27"/>
          <w:lang w:eastAsia="zh-CN"/>
        </w:rPr>
      </w:pPr>
      <w:r>
        <w:rPr>
          <w:rFonts w:ascii="仿宋_GB2312" w:hAnsi="仿宋_GB2312" w:eastAsia="仿宋_GB2312" w:cs="仿宋_GB2312"/>
          <w:color w:val="000000"/>
          <w:kern w:val="0"/>
          <w:sz w:val="27"/>
          <w:szCs w:val="27"/>
        </w:rPr>
        <w:t>1.本年支出决算合计</w:t>
      </w:r>
      <w:r>
        <w:rPr>
          <w:rFonts w:ascii="times_new_roman" w:hAnsi="times_new_roman" w:eastAsia="times_new_roman" w:cs="times_new_roman"/>
          <w:color w:val="000000"/>
          <w:kern w:val="0"/>
          <w:sz w:val="27"/>
          <w:szCs w:val="27"/>
          <w:u w:val="single" w:color="000000"/>
        </w:rPr>
        <w:t> 486.88</w:t>
      </w:r>
      <w:r>
        <w:rPr>
          <w:rFonts w:ascii="仿宋_GB2312" w:hAnsi="仿宋_GB2312" w:eastAsia="仿宋_GB2312" w:cs="仿宋_GB2312"/>
          <w:color w:val="000000"/>
          <w:kern w:val="0"/>
          <w:sz w:val="27"/>
          <w:szCs w:val="27"/>
        </w:rPr>
        <w:t>万元。与上年决算相比，增加（减少）</w:t>
      </w:r>
      <w:r>
        <w:rPr>
          <w:rFonts w:ascii="times_new_roman" w:hAnsi="times_new_roman" w:eastAsia="times_new_roman" w:cs="times_new_roman"/>
          <w:color w:val="000000"/>
          <w:kern w:val="0"/>
          <w:sz w:val="27"/>
          <w:szCs w:val="27"/>
          <w:u w:val="single" w:color="000000"/>
        </w:rPr>
        <w:t> -79.79</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-14.08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专项资金减少，部分专项资金未支付。</w:t>
      </w:r>
    </w:p>
    <w:p w14:paraId="412EF757">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万元。结余分配事项：</w:t>
      </w:r>
      <w:r>
        <w:rPr>
          <w:rFonts w:hint="eastAsia" w:ascii="仿宋_GB2312" w:hAnsi="仿宋_GB2312" w:eastAsia="仿宋_GB2312" w:cs="仿宋_GB2312"/>
          <w:color w:val="000000"/>
          <w:kern w:val="0"/>
          <w:sz w:val="27"/>
          <w:szCs w:val="27"/>
          <w:lang w:eastAsia="zh-CN"/>
        </w:rPr>
        <w:t>无</w:t>
      </w:r>
      <w:r>
        <w:rPr>
          <w:rFonts w:ascii="仿宋_GB2312" w:hAnsi="仿宋_GB2312" w:eastAsia="仿宋_GB2312" w:cs="仿宋_GB2312"/>
          <w:color w:val="000000"/>
          <w:kern w:val="0"/>
          <w:sz w:val="27"/>
          <w:szCs w:val="27"/>
        </w:rPr>
        <w:t>。与上年决算相比，增加（减少）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8"/>
          <w:szCs w:val="28"/>
          <w:u w:val="none"/>
          <w:lang w:val="en-US" w:eastAsia="zh-CN"/>
        </w:rPr>
        <w:t>不存在此项内容</w:t>
      </w:r>
      <w:r>
        <w:rPr>
          <w:rFonts w:ascii="仿宋_GB2312" w:hAnsi="仿宋_GB2312" w:eastAsia="仿宋_GB2312" w:cs="仿宋_GB2312"/>
          <w:color w:val="000000"/>
          <w:kern w:val="0"/>
          <w:sz w:val="27"/>
          <w:szCs w:val="27"/>
        </w:rPr>
        <w:t>。</w:t>
      </w:r>
    </w:p>
    <w:p w14:paraId="6CB37DB7">
      <w:pPr>
        <w:widowControl/>
        <w:spacing w:before="240" w:after="240"/>
        <w:ind w:firstLine="540" w:firstLineChars="20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万元。结转和结余事项：</w:t>
      </w:r>
      <w:r>
        <w:rPr>
          <w:rFonts w:hint="eastAsia" w:ascii="仿宋_GB2312" w:hAnsi="仿宋_GB2312" w:eastAsia="仿宋_GB2312" w:cs="仿宋_GB2312"/>
          <w:color w:val="000000"/>
          <w:kern w:val="0"/>
          <w:sz w:val="27"/>
          <w:szCs w:val="27"/>
          <w:lang w:eastAsia="zh-CN"/>
        </w:rPr>
        <w:t>无</w:t>
      </w:r>
      <w:r>
        <w:rPr>
          <w:rFonts w:ascii="仿宋_GB2312" w:hAnsi="仿宋_GB2312" w:eastAsia="仿宋_GB2312" w:cs="仿宋_GB2312"/>
          <w:color w:val="000000"/>
          <w:kern w:val="0"/>
          <w:sz w:val="27"/>
          <w:szCs w:val="27"/>
        </w:rPr>
        <w:t>。与上年决算相比，增加（减少）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8"/>
          <w:szCs w:val="28"/>
          <w:u w:val="none"/>
          <w:lang w:val="en-US" w:eastAsia="zh-CN"/>
        </w:rPr>
        <w:t>不存在此项内容</w:t>
      </w:r>
      <w:r>
        <w:rPr>
          <w:rFonts w:ascii="仿宋_GB2312" w:hAnsi="仿宋_GB2312" w:eastAsia="仿宋_GB2312" w:cs="仿宋_GB2312"/>
          <w:color w:val="000000"/>
          <w:kern w:val="0"/>
          <w:sz w:val="27"/>
          <w:szCs w:val="27"/>
        </w:rPr>
        <w:t>。</w:t>
      </w:r>
    </w:p>
    <w:p w14:paraId="7C6A421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2CBD94A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6C464F4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赤峰市松山区第三幼儿园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486.88</w:t>
      </w:r>
      <w:r>
        <w:rPr>
          <w:rFonts w:ascii="仿宋_GB2312" w:hAnsi="仿宋_GB2312" w:eastAsia="仿宋_GB2312" w:cs="仿宋_GB2312"/>
          <w:color w:val="000000"/>
          <w:kern w:val="0"/>
          <w:sz w:val="27"/>
          <w:szCs w:val="27"/>
        </w:rPr>
        <w:t>万元，其中：</w:t>
      </w:r>
    </w:p>
    <w:p w14:paraId="380BEE9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486.88</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14:paraId="18B2A46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00C9ABC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702CBB5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41DFCB8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5D6218C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41552F9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415EF86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55B2C430">
      <w:pPr>
        <w:widowControl/>
        <w:spacing w:before="240" w:after="240"/>
        <w:jc w:val="both"/>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anchor distT="0" distB="0" distL="114300" distR="114300" simplePos="0" relativeHeight="251659264" behindDoc="0" locked="0" layoutInCell="1" allowOverlap="1">
            <wp:simplePos x="0" y="0"/>
            <wp:positionH relativeFrom="column">
              <wp:posOffset>146050</wp:posOffset>
            </wp:positionH>
            <wp:positionV relativeFrom="paragraph">
              <wp:posOffset>125730</wp:posOffset>
            </wp:positionV>
            <wp:extent cx="5680075" cy="3550285"/>
            <wp:effectExtent l="0" t="0" r="15875" b="12065"/>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5680075" cy="3550285"/>
                    </a:xfrm>
                    <a:prstGeom prst="rect">
                      <a:avLst/>
                    </a:prstGeom>
                    <a:noFill/>
                    <a:ln>
                      <a:noFill/>
                    </a:ln>
                  </pic:spPr>
                </pic:pic>
              </a:graphicData>
            </a:graphic>
          </wp:anchor>
        </w:drawing>
      </w:r>
      <w:r>
        <w:rPr>
          <w:rFonts w:ascii="Times New Roman" w:hAnsi="Times New Roman" w:eastAsia="Times New Roman" w:cs="Times New Roman"/>
          <w:kern w:val="0"/>
          <w:sz w:val="24"/>
        </w:rPr>
        <w:t xml:space="preserve">  </w:t>
      </w:r>
    </w:p>
    <w:p w14:paraId="02D93221">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6C306A1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034D9C2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赤峰市松山区第三幼儿园 2024年度本年支出决算合计</w:t>
      </w:r>
      <w:r>
        <w:rPr>
          <w:rFonts w:ascii="times_new_roman" w:hAnsi="times_new_roman" w:eastAsia="times_new_roman" w:cs="times_new_roman"/>
          <w:color w:val="000000"/>
          <w:kern w:val="0"/>
          <w:sz w:val="27"/>
          <w:szCs w:val="27"/>
          <w:u w:val="single" w:color="000000"/>
        </w:rPr>
        <w:t> 486.88</w:t>
      </w:r>
      <w:r>
        <w:rPr>
          <w:rFonts w:ascii="仿宋_GB2312" w:hAnsi="仿宋_GB2312" w:eastAsia="仿宋_GB2312" w:cs="仿宋_GB2312"/>
          <w:color w:val="000000"/>
          <w:kern w:val="0"/>
          <w:sz w:val="27"/>
          <w:szCs w:val="27"/>
        </w:rPr>
        <w:t>万元，其中：</w:t>
      </w:r>
    </w:p>
    <w:p w14:paraId="599B139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486.88</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14:paraId="3000E0B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4BE0ECA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051C459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61FEE9E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11C7DC79">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6" o:spt="75" alt="" type="#_x0000_t75" style="height:260.95pt;width:417.5pt;" filled="f" o:preferrelative="t" stroked="f" coordsize="21600,21600">
            <v:path/>
            <v:fill on="f" focussize="0,0"/>
            <v:stroke on="f"/>
            <v:imagedata r:id="rId7" o:title=""/>
            <o:lock v:ext="edit" aspectratio="t"/>
            <w10:wrap type="none"/>
            <w10:anchorlock/>
          </v:shape>
        </w:pict>
      </w:r>
      <w:r>
        <w:rPr>
          <w:rFonts w:ascii="Times New Roman" w:hAnsi="Times New Roman" w:eastAsia="Times New Roman" w:cs="Times New Roman"/>
          <w:kern w:val="0"/>
          <w:sz w:val="24"/>
        </w:rPr>
        <w:t xml:space="preserve">  </w:t>
      </w:r>
    </w:p>
    <w:p w14:paraId="1137D388">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6B9DF040">
      <w:pPr>
        <w:widowControl/>
        <w:spacing w:before="240" w:after="240"/>
        <w:jc w:val="left"/>
        <w:rPr>
          <w:rFonts w:ascii="Times New Roman" w:hAnsi="Times New Roman" w:eastAsia="Times New Roman" w:cs="Times New Roman"/>
          <w:kern w:val="0"/>
          <w:sz w:val="24"/>
        </w:rPr>
      </w:pPr>
    </w:p>
    <w:p w14:paraId="3258DB1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4B68EA1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赤峰市松山区第三幼儿园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486.88</w:t>
      </w:r>
      <w:r>
        <w:rPr>
          <w:rFonts w:ascii="仿宋_GB2312" w:hAnsi="仿宋_GB2312" w:eastAsia="仿宋_GB2312" w:cs="仿宋_GB2312"/>
          <w:color w:val="000000"/>
          <w:kern w:val="0"/>
          <w:sz w:val="27"/>
          <w:szCs w:val="27"/>
        </w:rPr>
        <w:t>万元，与年初预算相比，收、支总计各增加（减少）</w:t>
      </w:r>
      <w:r>
        <w:rPr>
          <w:rFonts w:ascii="times_new_roman" w:hAnsi="times_new_roman" w:eastAsia="times_new_roman" w:cs="times_new_roman"/>
          <w:color w:val="000000"/>
          <w:kern w:val="0"/>
          <w:sz w:val="27"/>
          <w:szCs w:val="27"/>
          <w:u w:val="single" w:color="000000"/>
        </w:rPr>
        <w:t> -58.48</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-10.72</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8"/>
          <w:szCs w:val="28"/>
          <w:u w:val="none"/>
          <w:lang w:val="en-US" w:eastAsia="zh-CN"/>
        </w:rPr>
        <w:t>由于部分预算项目未实施，导致2024年支出较年初预算减少</w:t>
      </w:r>
      <w:r>
        <w:rPr>
          <w:rFonts w:ascii="仿宋_GB2312" w:hAnsi="仿宋_GB2312" w:eastAsia="仿宋_GB2312" w:cs="仿宋_GB2312"/>
          <w:color w:val="000000"/>
          <w:kern w:val="0"/>
          <w:sz w:val="27"/>
          <w:szCs w:val="27"/>
        </w:rPr>
        <w:t>；与上年决算相比，收、支总计各增加（减少）</w:t>
      </w:r>
      <w:r>
        <w:rPr>
          <w:rFonts w:ascii="times_new_roman" w:hAnsi="times_new_roman" w:eastAsia="times_new_roman" w:cs="times_new_roman"/>
          <w:color w:val="000000"/>
          <w:kern w:val="0"/>
          <w:sz w:val="27"/>
          <w:szCs w:val="27"/>
          <w:u w:val="single" w:color="000000"/>
        </w:rPr>
        <w:t> -79.79</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xml:space="preserve"> -14.08</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kern w:val="0"/>
          <w:sz w:val="28"/>
          <w:szCs w:val="28"/>
          <w:u w:val="none"/>
          <w:lang w:val="en-US" w:eastAsia="zh-CN"/>
        </w:rPr>
        <w:t>由于部分预算项目未实施，导致2024年支出较年初预算减少</w:t>
      </w:r>
      <w:r>
        <w:rPr>
          <w:rFonts w:ascii="仿宋_GB2312" w:hAnsi="仿宋_GB2312" w:eastAsia="仿宋_GB2312" w:cs="仿宋_GB2312"/>
          <w:color w:val="000000"/>
          <w:kern w:val="0"/>
          <w:sz w:val="27"/>
          <w:szCs w:val="27"/>
        </w:rPr>
        <w:t>。</w:t>
      </w:r>
    </w:p>
    <w:p w14:paraId="51654AA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0C493F6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赤峰市松山区第三幼儿园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486.88</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545.35</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89.28</w:t>
      </w:r>
      <w:r>
        <w:rPr>
          <w:rFonts w:ascii="仿宋_GB2312" w:hAnsi="仿宋_GB2312" w:eastAsia="仿宋_GB2312" w:cs="仿宋_GB2312"/>
          <w:color w:val="000000"/>
          <w:kern w:val="0"/>
          <w:sz w:val="27"/>
          <w:szCs w:val="27"/>
        </w:rPr>
        <w:t>%。其中：</w:t>
      </w:r>
    </w:p>
    <w:p w14:paraId="71E5CA8E">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eastAsia="zh-CN"/>
        </w:rPr>
        <w:t>一</w:t>
      </w:r>
      <w:r>
        <w:rPr>
          <w:rFonts w:ascii="kai_ti_gb2312" w:hAnsi="kai_ti_gb2312" w:eastAsia="kai_ti_gb2312" w:cs="kai_ti_gb2312"/>
          <w:b/>
          <w:bCs/>
          <w:color w:val="000000"/>
          <w:kern w:val="0"/>
          <w:sz w:val="27"/>
          <w:szCs w:val="27"/>
        </w:rPr>
        <w:t>）社会保障和就业支出（类）</w:t>
      </w:r>
    </w:p>
    <w:p w14:paraId="133C6AA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社会保障和就业支出（类）决算数为</w:t>
      </w:r>
      <w:r>
        <w:rPr>
          <w:rFonts w:ascii="times_new_roman" w:hAnsi="times_new_roman" w:eastAsia="times_new_roman" w:cs="times_new_roman"/>
          <w:color w:val="000000"/>
          <w:kern w:val="0"/>
          <w:sz w:val="27"/>
          <w:szCs w:val="27"/>
          <w:u w:val="single" w:color="000000"/>
        </w:rPr>
        <w:t> 25.42</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w:t>
      </w:r>
      <w:r>
        <w:rPr>
          <w:rFonts w:hint="eastAsia" w:ascii="times_new_roman" w:hAnsi="times_new_roman" w:cs="times_new_roman"/>
          <w:color w:val="000000"/>
          <w:kern w:val="0"/>
          <w:sz w:val="27"/>
          <w:szCs w:val="27"/>
          <w:u w:val="single" w:color="000000"/>
          <w:lang w:val="en-US" w:eastAsia="zh-CN"/>
        </w:rPr>
        <w:t>-7.07</w:t>
      </w:r>
      <w:r>
        <w:rPr>
          <w:rFonts w:ascii="仿宋_GB2312" w:hAnsi="仿宋_GB2312" w:eastAsia="仿宋_GB2312" w:cs="仿宋_GB2312"/>
          <w:color w:val="000000"/>
          <w:kern w:val="0"/>
          <w:sz w:val="27"/>
          <w:szCs w:val="27"/>
        </w:rPr>
        <w:t>万元。其中：</w:t>
      </w:r>
    </w:p>
    <w:p w14:paraId="0C8293D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1</w:t>
      </w:r>
      <w:r>
        <w:rPr>
          <w:rFonts w:ascii="times_new_roman" w:hAnsi="times_new_roman" w:eastAsia="times_new_roman" w:cs="times_new_roman"/>
          <w:color w:val="000000"/>
          <w:kern w:val="0"/>
          <w:sz w:val="27"/>
          <w:szCs w:val="27"/>
        </w:rPr>
        <w:t>．</w:t>
      </w:r>
      <w:r>
        <w:rPr>
          <w:rFonts w:ascii="仿宋_GB2312" w:hAnsi="仿宋_GB2312" w:eastAsia="仿宋_GB2312" w:cs="仿宋_GB2312"/>
          <w:color w:val="000000"/>
          <w:kern w:val="0"/>
          <w:sz w:val="27"/>
          <w:szCs w:val="27"/>
        </w:rPr>
        <w:t>行政事业单位养老支出（款）机关事业单位基本养老保险缴费支出（项）。年初预算</w:t>
      </w:r>
      <w:r>
        <w:rPr>
          <w:rFonts w:hint="eastAsia" w:ascii="times_new_roman" w:hAnsi="times_new_roman" w:cs="times_new_roman"/>
          <w:color w:val="000000"/>
          <w:kern w:val="0"/>
          <w:sz w:val="27"/>
          <w:szCs w:val="27"/>
          <w:u w:val="single" w:color="000000"/>
          <w:lang w:val="en-US" w:eastAsia="zh-CN"/>
        </w:rPr>
        <w:t>21.66</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24.3</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11.2</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养老保险基数调整有所提高</w:t>
      </w:r>
      <w:r>
        <w:rPr>
          <w:rFonts w:ascii="仿宋_GB2312" w:hAnsi="仿宋_GB2312" w:eastAsia="仿宋_GB2312" w:cs="仿宋_GB2312"/>
          <w:color w:val="000000"/>
          <w:kern w:val="0"/>
          <w:sz w:val="27"/>
          <w:szCs w:val="27"/>
        </w:rPr>
        <w:t>。</w:t>
      </w:r>
    </w:p>
    <w:p w14:paraId="170C1A1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eastAsia="zh-CN"/>
        </w:rPr>
        <w:t>二</w:t>
      </w:r>
      <w:r>
        <w:rPr>
          <w:rFonts w:ascii="kai_ti_gb2312" w:hAnsi="kai_ti_gb2312" w:eastAsia="kai_ti_gb2312" w:cs="kai_ti_gb2312"/>
          <w:b/>
          <w:bCs/>
          <w:color w:val="000000"/>
          <w:kern w:val="0"/>
          <w:sz w:val="27"/>
          <w:szCs w:val="27"/>
        </w:rPr>
        <w:t>）住房保障支出（类）</w:t>
      </w:r>
    </w:p>
    <w:p w14:paraId="0B53BD4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住房保障支出（类）决算数为</w:t>
      </w:r>
      <w:r>
        <w:rPr>
          <w:rFonts w:ascii="times_new_roman" w:hAnsi="times_new_roman" w:eastAsia="times_new_roman" w:cs="times_new_roman"/>
          <w:color w:val="000000"/>
          <w:kern w:val="0"/>
          <w:sz w:val="27"/>
          <w:szCs w:val="27"/>
          <w:u w:val="single" w:color="000000"/>
        </w:rPr>
        <w:t> 20.24</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w:t>
      </w:r>
      <w:r>
        <w:rPr>
          <w:rFonts w:hint="eastAsia" w:ascii="times_new_roman" w:hAnsi="times_new_roman" w:cs="times_new_roman"/>
          <w:color w:val="000000"/>
          <w:kern w:val="0"/>
          <w:sz w:val="27"/>
          <w:szCs w:val="27"/>
          <w:u w:val="single" w:color="000000"/>
          <w:lang w:val="en-US" w:eastAsia="zh-CN"/>
        </w:rPr>
        <w:t>17.88</w:t>
      </w:r>
      <w:r>
        <w:rPr>
          <w:rFonts w:ascii="仿宋_GB2312" w:hAnsi="仿宋_GB2312" w:eastAsia="仿宋_GB2312" w:cs="仿宋_GB2312"/>
          <w:color w:val="000000"/>
          <w:kern w:val="0"/>
          <w:sz w:val="27"/>
          <w:szCs w:val="27"/>
        </w:rPr>
        <w:t>万元。其中：</w:t>
      </w:r>
    </w:p>
    <w:p w14:paraId="6C7F3F6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住房改革支出（款）住房公积金（项）。年初预算</w:t>
      </w:r>
      <w:r>
        <w:rPr>
          <w:rFonts w:hint="eastAsia" w:ascii="times_new_roman" w:hAnsi="times_new_roman" w:cs="times_new_roman"/>
          <w:color w:val="000000"/>
          <w:kern w:val="0"/>
          <w:sz w:val="27"/>
          <w:szCs w:val="27"/>
          <w:u w:val="single" w:color="000000"/>
          <w:lang w:val="en-US" w:eastAsia="zh-CN"/>
        </w:rPr>
        <w:t>17.88</w:t>
      </w:r>
      <w:r>
        <w:rPr>
          <w:rFonts w:ascii="仿宋_GB2312" w:hAnsi="仿宋_GB2312" w:eastAsia="仿宋_GB2312" w:cs="仿宋_GB2312"/>
          <w:color w:val="000000"/>
          <w:kern w:val="0"/>
          <w:sz w:val="27"/>
          <w:szCs w:val="27"/>
        </w:rPr>
        <w:t>万元，支出决算</w:t>
      </w:r>
      <w:r>
        <w:rPr>
          <w:rFonts w:hint="eastAsia" w:ascii="times_new_roman" w:hAnsi="times_new_roman" w:cs="times_new_roman"/>
          <w:color w:val="000000"/>
          <w:kern w:val="0"/>
          <w:sz w:val="27"/>
          <w:szCs w:val="27"/>
          <w:u w:val="single" w:color="000000"/>
          <w:lang w:val="en-US" w:eastAsia="zh-CN"/>
        </w:rPr>
        <w:t>20.24</w:t>
      </w:r>
      <w:r>
        <w:rPr>
          <w:rFonts w:ascii="仿宋_GB2312" w:hAnsi="仿宋_GB2312" w:eastAsia="仿宋_GB2312" w:cs="仿宋_GB2312"/>
          <w:color w:val="000000"/>
          <w:kern w:val="0"/>
          <w:sz w:val="27"/>
          <w:szCs w:val="27"/>
        </w:rPr>
        <w:t>万元，完成年初预算的</w:t>
      </w:r>
      <w:r>
        <w:rPr>
          <w:rFonts w:hint="eastAsia" w:ascii="times_new_roman" w:hAnsi="times_new_roman" w:cs="times_new_roman"/>
          <w:color w:val="000000"/>
          <w:kern w:val="0"/>
          <w:sz w:val="27"/>
          <w:szCs w:val="27"/>
          <w:u w:val="single" w:color="000000"/>
          <w:lang w:val="en-US" w:eastAsia="zh-CN"/>
        </w:rPr>
        <w:t>11.3</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住房公积金缴费基数调整有所提高</w:t>
      </w:r>
      <w:r>
        <w:rPr>
          <w:rFonts w:ascii="仿宋_GB2312" w:hAnsi="仿宋_GB2312" w:eastAsia="仿宋_GB2312" w:cs="仿宋_GB2312"/>
          <w:color w:val="000000"/>
          <w:kern w:val="0"/>
          <w:sz w:val="27"/>
          <w:szCs w:val="27"/>
        </w:rPr>
        <w:t>。</w:t>
      </w:r>
    </w:p>
    <w:p w14:paraId="6E6F049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2DEF0E0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赤峰市松山区第三幼儿园 2024年度一般公共预算财政拨款基本支出决算</w:t>
      </w:r>
      <w:r>
        <w:rPr>
          <w:rFonts w:ascii="times_new_roman" w:hAnsi="times_new_roman" w:eastAsia="times_new_roman" w:cs="times_new_roman"/>
          <w:color w:val="000000"/>
          <w:kern w:val="0"/>
          <w:sz w:val="27"/>
          <w:szCs w:val="27"/>
          <w:u w:val="single" w:color="000000"/>
        </w:rPr>
        <w:t> 486.88</w:t>
      </w:r>
      <w:r>
        <w:rPr>
          <w:rFonts w:ascii="仿宋_GB2312" w:hAnsi="仿宋_GB2312" w:eastAsia="仿宋_GB2312" w:cs="仿宋_GB2312"/>
          <w:color w:val="000000"/>
          <w:kern w:val="0"/>
          <w:sz w:val="27"/>
          <w:szCs w:val="27"/>
        </w:rPr>
        <w:t>万元，其中：</w:t>
      </w:r>
    </w:p>
    <w:p w14:paraId="49BB4AFC">
      <w:pPr>
        <w:keepNext w:val="0"/>
        <w:keepLines w:val="0"/>
        <w:pageBreakBefore w:val="0"/>
        <w:widowControl/>
        <w:kinsoku/>
        <w:wordWrap/>
        <w:overflowPunct/>
        <w:topLinePunct w:val="0"/>
        <w:autoSpaceDE/>
        <w:autoSpaceDN/>
        <w:bidi w:val="0"/>
        <w:adjustRightInd/>
        <w:snapToGrid/>
        <w:spacing w:before="240" w:after="240"/>
        <w:ind w:firstLine="542" w:firstLineChars="200"/>
        <w:textAlignment w:val="auto"/>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361.22</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w:t>
      </w:r>
      <w:r>
        <w:rPr>
          <w:rFonts w:hint="eastAsia" w:ascii="仿宋_GB2312" w:hAnsi="仿宋_GB2312" w:eastAsia="仿宋_GB2312" w:cs="仿宋_GB2312"/>
          <w:color w:val="000000"/>
          <w:kern w:val="0"/>
          <w:sz w:val="27"/>
          <w:szCs w:val="27"/>
          <w:lang w:val="en-US" w:eastAsia="zh-CN"/>
        </w:rPr>
        <w:t>100.95万元</w:t>
      </w:r>
      <w:r>
        <w:rPr>
          <w:rFonts w:ascii="仿宋_GB2312" w:hAnsi="仿宋_GB2312" w:eastAsia="仿宋_GB2312" w:cs="仿宋_GB2312"/>
          <w:color w:val="000000"/>
          <w:kern w:val="0"/>
          <w:sz w:val="27"/>
          <w:szCs w:val="27"/>
        </w:rPr>
        <w:t>、津贴补贴</w:t>
      </w:r>
      <w:r>
        <w:rPr>
          <w:rFonts w:hint="eastAsia" w:ascii="仿宋_GB2312" w:hAnsi="仿宋_GB2312" w:eastAsia="仿宋_GB2312" w:cs="仿宋_GB2312"/>
          <w:color w:val="000000"/>
          <w:kern w:val="0"/>
          <w:sz w:val="27"/>
          <w:szCs w:val="27"/>
          <w:lang w:val="en-US" w:eastAsia="zh-CN"/>
        </w:rPr>
        <w:t>23.8万元</w:t>
      </w:r>
      <w:r>
        <w:rPr>
          <w:rFonts w:ascii="仿宋_GB2312" w:hAnsi="仿宋_GB2312" w:eastAsia="仿宋_GB2312" w:cs="仿宋_GB2312"/>
          <w:color w:val="000000"/>
          <w:kern w:val="0"/>
          <w:sz w:val="27"/>
          <w:szCs w:val="27"/>
        </w:rPr>
        <w:t>、奖金</w:t>
      </w:r>
      <w:r>
        <w:rPr>
          <w:rFonts w:hint="eastAsia" w:ascii="仿宋_GB2312" w:hAnsi="仿宋_GB2312" w:eastAsia="仿宋_GB2312" w:cs="仿宋_GB2312"/>
          <w:color w:val="000000"/>
          <w:kern w:val="0"/>
          <w:sz w:val="27"/>
          <w:szCs w:val="27"/>
          <w:lang w:val="en-US" w:eastAsia="zh-CN"/>
        </w:rPr>
        <w:t>9.9万元</w:t>
      </w:r>
      <w:r>
        <w:rPr>
          <w:rFonts w:ascii="仿宋_GB2312" w:hAnsi="仿宋_GB2312" w:eastAsia="仿宋_GB2312" w:cs="仿宋_GB2312"/>
          <w:color w:val="000000"/>
          <w:kern w:val="0"/>
          <w:sz w:val="27"/>
          <w:szCs w:val="27"/>
        </w:rPr>
        <w:t>、伙食补助费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、绩效工资</w:t>
      </w:r>
      <w:r>
        <w:rPr>
          <w:rFonts w:hint="eastAsia" w:ascii="仿宋_GB2312" w:hAnsi="仿宋_GB2312" w:eastAsia="仿宋_GB2312" w:cs="仿宋_GB2312"/>
          <w:color w:val="000000"/>
          <w:kern w:val="0"/>
          <w:sz w:val="27"/>
          <w:szCs w:val="27"/>
          <w:lang w:val="en-US" w:eastAsia="zh-CN"/>
        </w:rPr>
        <w:t>38.56万元</w:t>
      </w:r>
      <w:r>
        <w:rPr>
          <w:rFonts w:ascii="仿宋_GB2312" w:hAnsi="仿宋_GB2312" w:eastAsia="仿宋_GB2312" w:cs="仿宋_GB2312"/>
          <w:color w:val="000000"/>
          <w:kern w:val="0"/>
          <w:sz w:val="27"/>
          <w:szCs w:val="27"/>
        </w:rPr>
        <w:t>、机关事业单位基本养老保险缴费</w:t>
      </w:r>
      <w:r>
        <w:rPr>
          <w:rFonts w:hint="eastAsia" w:ascii="仿宋_GB2312" w:hAnsi="仿宋_GB2312" w:eastAsia="仿宋_GB2312" w:cs="仿宋_GB2312"/>
          <w:color w:val="000000"/>
          <w:kern w:val="0"/>
          <w:sz w:val="27"/>
          <w:szCs w:val="27"/>
          <w:lang w:val="en-US" w:eastAsia="zh-CN"/>
        </w:rPr>
        <w:t>24.3万元</w:t>
      </w:r>
      <w:r>
        <w:rPr>
          <w:rFonts w:ascii="仿宋_GB2312" w:hAnsi="仿宋_GB2312" w:eastAsia="仿宋_GB2312" w:cs="仿宋_GB2312"/>
          <w:color w:val="000000"/>
          <w:kern w:val="0"/>
          <w:sz w:val="27"/>
          <w:szCs w:val="27"/>
        </w:rPr>
        <w:t>、职业年金缴费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、职工基本医疗保险缴费</w:t>
      </w:r>
      <w:r>
        <w:rPr>
          <w:rFonts w:hint="eastAsia" w:ascii="仿宋_GB2312" w:hAnsi="仿宋_GB2312" w:eastAsia="仿宋_GB2312" w:cs="仿宋_GB2312"/>
          <w:color w:val="000000"/>
          <w:kern w:val="0"/>
          <w:sz w:val="27"/>
          <w:szCs w:val="27"/>
          <w:lang w:val="en-US" w:eastAsia="zh-CN"/>
        </w:rPr>
        <w:t>12.16万元</w:t>
      </w:r>
      <w:r>
        <w:rPr>
          <w:rFonts w:ascii="仿宋_GB2312" w:hAnsi="仿宋_GB2312" w:eastAsia="仿宋_GB2312" w:cs="仿宋_GB2312"/>
          <w:color w:val="000000"/>
          <w:kern w:val="0"/>
          <w:sz w:val="27"/>
          <w:szCs w:val="27"/>
        </w:rPr>
        <w:t>、公务员医疗补助缴费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、住房公积金</w:t>
      </w:r>
      <w:r>
        <w:rPr>
          <w:rFonts w:hint="eastAsia" w:ascii="仿宋_GB2312" w:hAnsi="仿宋_GB2312" w:eastAsia="仿宋_GB2312" w:cs="仿宋_GB2312"/>
          <w:color w:val="000000"/>
          <w:kern w:val="0"/>
          <w:sz w:val="27"/>
          <w:szCs w:val="27"/>
          <w:lang w:val="en-US" w:eastAsia="zh-CN"/>
        </w:rPr>
        <w:t>20.24万元</w:t>
      </w:r>
      <w:r>
        <w:rPr>
          <w:rFonts w:ascii="仿宋_GB2312" w:hAnsi="仿宋_GB2312" w:eastAsia="仿宋_GB2312" w:cs="仿宋_GB2312"/>
          <w:color w:val="000000"/>
          <w:kern w:val="0"/>
          <w:sz w:val="27"/>
          <w:szCs w:val="27"/>
        </w:rPr>
        <w:t>、其他工资福利支出</w:t>
      </w:r>
      <w:r>
        <w:rPr>
          <w:rFonts w:hint="eastAsia" w:ascii="仿宋_GB2312" w:hAnsi="仿宋_GB2312" w:eastAsia="仿宋_GB2312" w:cs="仿宋_GB2312"/>
          <w:color w:val="000000"/>
          <w:kern w:val="0"/>
          <w:sz w:val="27"/>
          <w:szCs w:val="27"/>
          <w:lang w:val="en-US" w:eastAsia="zh-CN"/>
        </w:rPr>
        <w:t>129.57万元</w:t>
      </w:r>
      <w:r>
        <w:rPr>
          <w:rFonts w:ascii="仿宋_GB2312" w:hAnsi="仿宋_GB2312" w:eastAsia="仿宋_GB2312" w:cs="仿宋_GB2312"/>
          <w:color w:val="000000"/>
          <w:kern w:val="0"/>
          <w:sz w:val="27"/>
          <w:szCs w:val="27"/>
        </w:rPr>
        <w:t>、离休费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、退休费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、抚恤金</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、生活补助</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、医疗费补助</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、奖励金</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助学金0.6万元、</w:t>
      </w:r>
      <w:r>
        <w:rPr>
          <w:rFonts w:ascii="仿宋_GB2312" w:hAnsi="仿宋_GB2312" w:eastAsia="仿宋_GB2312" w:cs="仿宋_GB2312"/>
          <w:color w:val="000000"/>
          <w:kern w:val="0"/>
          <w:sz w:val="27"/>
          <w:szCs w:val="27"/>
        </w:rPr>
        <w:t>其他对个人和家庭的补助支出</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等。</w:t>
      </w:r>
    </w:p>
    <w:p w14:paraId="397F71D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 125.66</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w:t>
      </w:r>
      <w:r>
        <w:rPr>
          <w:rFonts w:hint="eastAsia" w:ascii="仿宋_GB2312" w:hAnsi="仿宋_GB2312" w:eastAsia="仿宋_GB2312" w:cs="仿宋_GB2312"/>
          <w:color w:val="000000"/>
          <w:kern w:val="0"/>
          <w:sz w:val="27"/>
          <w:szCs w:val="27"/>
        </w:rPr>
        <w:t>96.5</w:t>
      </w:r>
      <w:r>
        <w:rPr>
          <w:rFonts w:hint="eastAsia" w:ascii="仿宋_GB2312" w:hAnsi="仿宋_GB2312" w:eastAsia="仿宋_GB2312" w:cs="仿宋_GB2312"/>
          <w:color w:val="000000"/>
          <w:kern w:val="0"/>
          <w:sz w:val="27"/>
          <w:szCs w:val="27"/>
          <w:lang w:eastAsia="zh-CN"/>
        </w:rPr>
        <w:t>万元</w:t>
      </w:r>
      <w:r>
        <w:rPr>
          <w:rFonts w:ascii="仿宋_GB2312" w:hAnsi="仿宋_GB2312" w:eastAsia="仿宋_GB2312" w:cs="仿宋_GB2312"/>
          <w:color w:val="000000"/>
          <w:kern w:val="0"/>
          <w:sz w:val="27"/>
          <w:szCs w:val="27"/>
        </w:rPr>
        <w:t>、印刷费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、咨询费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、手续费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、水费</w:t>
      </w:r>
      <w:r>
        <w:rPr>
          <w:rFonts w:hint="eastAsia" w:ascii="仿宋_GB2312" w:hAnsi="仿宋_GB2312" w:eastAsia="仿宋_GB2312" w:cs="仿宋_GB2312"/>
          <w:color w:val="000000"/>
          <w:kern w:val="0"/>
          <w:sz w:val="27"/>
          <w:szCs w:val="27"/>
        </w:rPr>
        <w:t>8</w:t>
      </w:r>
      <w:r>
        <w:rPr>
          <w:rFonts w:hint="eastAsia" w:ascii="仿宋_GB2312" w:hAnsi="仿宋_GB2312" w:eastAsia="仿宋_GB2312" w:cs="仿宋_GB2312"/>
          <w:color w:val="000000"/>
          <w:kern w:val="0"/>
          <w:sz w:val="27"/>
          <w:szCs w:val="27"/>
          <w:lang w:eastAsia="zh-CN"/>
        </w:rPr>
        <w:t>万元</w:t>
      </w:r>
      <w:r>
        <w:rPr>
          <w:rFonts w:ascii="仿宋_GB2312" w:hAnsi="仿宋_GB2312" w:eastAsia="仿宋_GB2312" w:cs="仿宋_GB2312"/>
          <w:color w:val="000000"/>
          <w:kern w:val="0"/>
          <w:sz w:val="27"/>
          <w:szCs w:val="27"/>
        </w:rPr>
        <w:t>、电费</w:t>
      </w:r>
      <w:r>
        <w:rPr>
          <w:rFonts w:hint="eastAsia" w:ascii="仿宋_GB2312" w:hAnsi="仿宋_GB2312" w:eastAsia="仿宋_GB2312" w:cs="仿宋_GB2312"/>
          <w:color w:val="000000"/>
          <w:kern w:val="0"/>
          <w:sz w:val="27"/>
          <w:szCs w:val="27"/>
        </w:rPr>
        <w:t>5</w:t>
      </w:r>
      <w:r>
        <w:rPr>
          <w:rFonts w:hint="eastAsia" w:ascii="仿宋_GB2312" w:hAnsi="仿宋_GB2312" w:eastAsia="仿宋_GB2312" w:cs="仿宋_GB2312"/>
          <w:color w:val="000000"/>
          <w:kern w:val="0"/>
          <w:sz w:val="27"/>
          <w:szCs w:val="27"/>
          <w:lang w:eastAsia="zh-CN"/>
        </w:rPr>
        <w:t>万元</w:t>
      </w:r>
      <w:r>
        <w:rPr>
          <w:rFonts w:ascii="仿宋_GB2312" w:hAnsi="仿宋_GB2312" w:eastAsia="仿宋_GB2312" w:cs="仿宋_GB2312"/>
          <w:color w:val="000000"/>
          <w:kern w:val="0"/>
          <w:sz w:val="27"/>
          <w:szCs w:val="27"/>
        </w:rPr>
        <w:t>、邮电费</w:t>
      </w:r>
      <w:r>
        <w:rPr>
          <w:rFonts w:hint="eastAsia" w:ascii="仿宋_GB2312" w:hAnsi="仿宋_GB2312" w:eastAsia="仿宋_GB2312" w:cs="仿宋_GB2312"/>
          <w:color w:val="000000"/>
          <w:kern w:val="0"/>
          <w:sz w:val="27"/>
          <w:szCs w:val="27"/>
        </w:rPr>
        <w:t>0.44</w:t>
      </w:r>
      <w:r>
        <w:rPr>
          <w:rFonts w:hint="eastAsia" w:ascii="仿宋_GB2312" w:hAnsi="仿宋_GB2312" w:eastAsia="仿宋_GB2312" w:cs="仿宋_GB2312"/>
          <w:color w:val="000000"/>
          <w:kern w:val="0"/>
          <w:sz w:val="27"/>
          <w:szCs w:val="27"/>
          <w:lang w:eastAsia="zh-CN"/>
        </w:rPr>
        <w:t>万元</w:t>
      </w:r>
      <w:r>
        <w:rPr>
          <w:rFonts w:ascii="仿宋_GB2312" w:hAnsi="仿宋_GB2312" w:eastAsia="仿宋_GB2312" w:cs="仿宋_GB2312"/>
          <w:color w:val="000000"/>
          <w:kern w:val="0"/>
          <w:sz w:val="27"/>
          <w:szCs w:val="27"/>
        </w:rPr>
        <w:t>、取暖费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、物业管理费</w:t>
      </w:r>
      <w:r>
        <w:rPr>
          <w:rFonts w:hint="eastAsia" w:ascii="仿宋_GB2312" w:hAnsi="仿宋_GB2312" w:eastAsia="仿宋_GB2312" w:cs="仿宋_GB2312"/>
          <w:color w:val="000000"/>
          <w:kern w:val="0"/>
          <w:sz w:val="27"/>
          <w:szCs w:val="27"/>
        </w:rPr>
        <w:t>4.72</w:t>
      </w:r>
      <w:r>
        <w:rPr>
          <w:rFonts w:hint="eastAsia" w:ascii="仿宋_GB2312" w:hAnsi="仿宋_GB2312" w:eastAsia="仿宋_GB2312" w:cs="仿宋_GB2312"/>
          <w:color w:val="000000"/>
          <w:kern w:val="0"/>
          <w:sz w:val="27"/>
          <w:szCs w:val="27"/>
          <w:lang w:eastAsia="zh-CN"/>
        </w:rPr>
        <w:t>万元</w:t>
      </w:r>
      <w:r>
        <w:rPr>
          <w:rFonts w:ascii="仿宋_GB2312" w:hAnsi="仿宋_GB2312" w:eastAsia="仿宋_GB2312" w:cs="仿宋_GB2312"/>
          <w:color w:val="000000"/>
          <w:kern w:val="0"/>
          <w:sz w:val="27"/>
          <w:szCs w:val="27"/>
        </w:rPr>
        <w:t>、差旅费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、维修（护）费</w:t>
      </w:r>
      <w:r>
        <w:rPr>
          <w:rFonts w:hint="eastAsia" w:ascii="仿宋_GB2312" w:hAnsi="仿宋_GB2312" w:eastAsia="仿宋_GB2312" w:cs="仿宋_GB2312"/>
          <w:color w:val="000000"/>
          <w:kern w:val="0"/>
          <w:sz w:val="27"/>
          <w:szCs w:val="27"/>
        </w:rPr>
        <w:t>7.42</w:t>
      </w:r>
      <w:r>
        <w:rPr>
          <w:rFonts w:hint="eastAsia" w:ascii="仿宋_GB2312" w:hAnsi="仿宋_GB2312" w:eastAsia="仿宋_GB2312" w:cs="仿宋_GB2312"/>
          <w:color w:val="000000"/>
          <w:kern w:val="0"/>
          <w:sz w:val="27"/>
          <w:szCs w:val="27"/>
          <w:lang w:eastAsia="zh-CN"/>
        </w:rPr>
        <w:t>万元</w:t>
      </w:r>
      <w:r>
        <w:rPr>
          <w:rFonts w:ascii="仿宋_GB2312" w:hAnsi="仿宋_GB2312" w:eastAsia="仿宋_GB2312" w:cs="仿宋_GB2312"/>
          <w:color w:val="000000"/>
          <w:kern w:val="0"/>
          <w:sz w:val="27"/>
          <w:szCs w:val="27"/>
        </w:rPr>
        <w:t>、租赁费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、会议费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、培训费</w:t>
      </w:r>
      <w:r>
        <w:rPr>
          <w:rFonts w:hint="eastAsia" w:ascii="仿宋_GB2312" w:hAnsi="仿宋_GB2312" w:eastAsia="仿宋_GB2312" w:cs="仿宋_GB2312"/>
          <w:color w:val="000000"/>
          <w:kern w:val="0"/>
          <w:sz w:val="27"/>
          <w:szCs w:val="27"/>
        </w:rPr>
        <w:t>3.58</w:t>
      </w:r>
      <w:r>
        <w:rPr>
          <w:rFonts w:hint="eastAsia" w:ascii="仿宋_GB2312" w:hAnsi="仿宋_GB2312" w:eastAsia="仿宋_GB2312" w:cs="仿宋_GB2312"/>
          <w:color w:val="000000"/>
          <w:kern w:val="0"/>
          <w:sz w:val="27"/>
          <w:szCs w:val="27"/>
          <w:lang w:eastAsia="zh-CN"/>
        </w:rPr>
        <w:t>万元</w:t>
      </w:r>
      <w:r>
        <w:rPr>
          <w:rFonts w:ascii="仿宋_GB2312" w:hAnsi="仿宋_GB2312" w:eastAsia="仿宋_GB2312" w:cs="仿宋_GB2312"/>
          <w:color w:val="000000"/>
          <w:kern w:val="0"/>
          <w:sz w:val="27"/>
          <w:szCs w:val="27"/>
        </w:rPr>
        <w:t>、公务接待费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、专用材料费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、劳务费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、委托业务费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、工会经费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、福利费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、公务用车运行维护费</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、其他交通费用</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、其他商品和服务支出</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、办公设备购置</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、专用设备购置</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、信息网络及软件购置更新</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、其他资本性支出</w:t>
      </w:r>
      <w:r>
        <w:rPr>
          <w:rFonts w:hint="eastAsia" w:ascii="仿宋_GB2312" w:hAnsi="仿宋_GB2312" w:eastAsia="仿宋_GB2312" w:cs="仿宋_GB2312"/>
          <w:color w:val="000000"/>
          <w:kern w:val="0"/>
          <w:sz w:val="27"/>
          <w:szCs w:val="27"/>
          <w:lang w:val="en-US" w:eastAsia="zh-CN"/>
        </w:rPr>
        <w:t>0万元</w:t>
      </w:r>
      <w:r>
        <w:rPr>
          <w:rFonts w:ascii="仿宋_GB2312" w:hAnsi="仿宋_GB2312" w:eastAsia="仿宋_GB2312" w:cs="仿宋_GB2312"/>
          <w:color w:val="000000"/>
          <w:kern w:val="0"/>
          <w:sz w:val="27"/>
          <w:szCs w:val="27"/>
        </w:rPr>
        <w:t>等。</w:t>
      </w:r>
    </w:p>
    <w:p w14:paraId="6695D80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5D06683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赤峰市松山区第三幼儿园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14:paraId="36CDF9C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主要包括：基本工资、津贴补贴、奖金、伙食补助费、绩效工资、机关事业单位基本养老保险缴费、职业年金缴费、职工基本医疗保险缴费、公务员医疗补助缴费、其他社会保障缴费、住房公积金、医疗费、其他工资福利支出等。</w:t>
      </w:r>
    </w:p>
    <w:p w14:paraId="13E7A77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（二）商品和服务支出</w:t>
      </w:r>
      <w:r>
        <w:rPr>
          <w:rFonts w:eastAsia="Times New Roman"/>
          <w:b/>
          <w:bCs/>
          <w:color w:val="000000"/>
          <w:kern w:val="0"/>
          <w:sz w:val="27"/>
          <w:szCs w:val="27"/>
          <w:u w:val="single" w:color="000000"/>
        </w:rPr>
        <w:t xml:space="preserve"> 0</w:t>
      </w:r>
      <w:r>
        <w:rPr>
          <w:rFonts w:ascii="仿宋_GB2312" w:hAnsi="仿宋_GB2312" w:eastAsia="仿宋_GB2312" w:cs="仿宋_GB2312"/>
          <w:color w:val="000000"/>
          <w:kern w:val="0"/>
          <w:sz w:val="27"/>
          <w:szCs w:val="27"/>
        </w:rPr>
        <w:t>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14:paraId="60BAB2B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single" w:color="000000"/>
        </w:rPr>
        <w:t xml:space="preserve"> 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14:paraId="58B8AD6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7AA9B93C">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33CA918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赤峰市松山区第三幼儿园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35FB3F0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4D9865B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赤峰市松山区第三幼儿园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14:paraId="5EE7D9F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2FDB835A">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14:paraId="362F9D2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辆，开支内容：……。与上年决算相比，增加（减少）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186182D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1EAA6B8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人次，开支内容：……；国（境）外公务接待支出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492BB9C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4012E617">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赤峰市松山区第三幼儿园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-23.99</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2024年度我单位没有化解拖欠中小企业账款的支出</w:t>
      </w:r>
      <w:r>
        <w:rPr>
          <w:rFonts w:ascii="仿宋_GB2312" w:hAnsi="仿宋_GB2312" w:eastAsia="仿宋_GB2312" w:cs="仿宋_GB2312"/>
          <w:color w:val="000000"/>
          <w:kern w:val="0"/>
          <w:sz w:val="27"/>
          <w:szCs w:val="27"/>
        </w:rPr>
        <w:t>。</w:t>
      </w:r>
    </w:p>
    <w:p w14:paraId="2527B59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p>
    <w:p w14:paraId="047FD8F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23777BE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赤峰市松山区第三幼儿园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071335B4">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713A4B5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赤峰市松山区第三幼儿园 2024年度公用经费支出决算</w:t>
      </w:r>
      <w:r>
        <w:rPr>
          <w:rFonts w:eastAsia="Times New Roman"/>
          <w:color w:val="000000"/>
          <w:kern w:val="0"/>
          <w:sz w:val="27"/>
          <w:szCs w:val="27"/>
          <w:u w:val="single" w:color="000000"/>
        </w:rPr>
        <w:t xml:space="preserve"> 125.66</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-41.27</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-24.72</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eastAsia="zh-CN"/>
        </w:rPr>
        <w:t>专项资金减少，部分专项资金未支付</w:t>
      </w:r>
      <w:r>
        <w:rPr>
          <w:rFonts w:ascii="仿宋_GB2312" w:hAnsi="仿宋_GB2312" w:eastAsia="仿宋_GB2312" w:cs="仿宋_GB2312"/>
          <w:color w:val="000000"/>
          <w:kern w:val="0"/>
          <w:sz w:val="27"/>
          <w:szCs w:val="27"/>
        </w:rPr>
        <w:t>。其中，机关运行经费支出决算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万元。比上年决算相比，增加（减少）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不存在此项内容</w:t>
      </w:r>
      <w:r>
        <w:rPr>
          <w:rFonts w:ascii="仿宋_GB2312" w:hAnsi="仿宋_GB2312" w:eastAsia="仿宋_GB2312" w:cs="仿宋_GB2312"/>
          <w:color w:val="000000"/>
          <w:kern w:val="0"/>
          <w:sz w:val="27"/>
          <w:szCs w:val="27"/>
        </w:rPr>
        <w:t>。</w:t>
      </w:r>
    </w:p>
    <w:p w14:paraId="7927F8D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6118682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赤峰市松山区第三幼儿园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%，其中：授予小微企业合同金额</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%；货物采购授予中小企业合同金额占货物支出金额的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%，工程采购授予中小企业合同金额占工程支出金额的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w:t>
      </w:r>
    </w:p>
    <w:p w14:paraId="362625E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4B64738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赤峰市松山区第三幼儿园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日，本部门（单位）共有车辆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台（套）。</w:t>
      </w:r>
    </w:p>
    <w:p w14:paraId="6445857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0380C800">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581C8EC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赤峰市松山区第三幼儿园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%；政府性基金预算项目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个，其中，一级项目</w:t>
      </w:r>
      <w:r>
        <w:rPr>
          <w:rFonts w:ascii="times_new_roman" w:hAnsi="times_new_roman" w:eastAsia="times_new_roman" w:cs="times_new_roman"/>
          <w:color w:val="000000"/>
          <w:kern w:val="0"/>
          <w:sz w:val="27"/>
          <w:szCs w:val="27"/>
          <w:u w:val="single" w:color="000000"/>
        </w:rPr>
        <w:t> </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万元，占应纳入绩效自评的政府性基金预算项目支出总额的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 组织对“</w:t>
      </w:r>
      <w:r>
        <w:rPr>
          <w:rFonts w:ascii="times_new_roman" w:hAnsi="times_new_roman" w:eastAsia="times_new_roman" w:cs="times_new_roman"/>
          <w:color w:val="000000"/>
          <w:kern w:val="0"/>
          <w:sz w:val="27"/>
          <w:szCs w:val="27"/>
        </w:rPr>
        <w:t>A</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B</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C</w:t>
      </w:r>
      <w:r>
        <w:rPr>
          <w:rFonts w:ascii="仿宋_GB2312" w:hAnsi="仿宋_GB2312" w:eastAsia="仿宋_GB2312" w:cs="仿宋_GB2312"/>
          <w:color w:val="000000"/>
          <w:kern w:val="0"/>
          <w:sz w:val="27"/>
          <w:szCs w:val="27"/>
        </w:rPr>
        <w:t>项目”等</w:t>
      </w:r>
      <w:r>
        <w:rPr>
          <w:rFonts w:ascii="仿宋_GB2312" w:hAnsi="仿宋_GB2312" w:eastAsia="仿宋_GB2312" w:cs="仿宋_GB2312"/>
          <w:color w:val="000000"/>
          <w:kern w:val="0"/>
          <w:sz w:val="27"/>
          <w:szCs w:val="27"/>
          <w:u w:val="single" w:color="000000"/>
        </w:rPr>
        <w:t> </w:t>
      </w:r>
      <w:r>
        <w:rPr>
          <w:rFonts w:hint="eastAsia" w:ascii="仿宋_GB2312" w:hAnsi="仿宋_GB2312" w:eastAsia="仿宋_GB2312" w:cs="仿宋_GB2312"/>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个项目开展了部门评价，涉及一般公共预算支出</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万元，政府性基金支出</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万元，</w:t>
      </w:r>
    </w:p>
    <w:p w14:paraId="2ACF8310">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（二）部门（单位）决算中项目绩效自评结果。</w:t>
      </w:r>
    </w:p>
    <w:p w14:paraId="20D1BF2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赤峰市松山区第三幼儿园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个一般公共预算项目，以及</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个政府性基金项目， 共</w:t>
      </w:r>
      <w:r>
        <w:rPr>
          <w:rFonts w:hint="eastAsia" w:ascii="times_new_roman" w:hAnsi="times_new_roman"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个项目的绩效自评结果。</w:t>
      </w:r>
    </w:p>
    <w:p w14:paraId="2C6B68E3">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14:paraId="69F3940D">
      <w:pPr>
        <w:keepNext w:val="0"/>
        <w:keepLines w:val="0"/>
        <w:pageBreakBefore w:val="0"/>
        <w:kinsoku/>
        <w:wordWrap/>
        <w:overflowPunct/>
        <w:topLinePunct w:val="0"/>
        <w:autoSpaceDE/>
        <w:autoSpaceDN/>
        <w:bidi w:val="0"/>
        <w:adjustRightInd/>
        <w:snapToGrid/>
        <w:ind w:firstLine="540" w:firstLineChars="200"/>
        <w:jc w:val="both"/>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2"/>
          <w:sz w:val="28"/>
          <w:szCs w:val="28"/>
        </w:rPr>
        <w:t>本年度本单位无项目支出。</w:t>
      </w:r>
    </w:p>
    <w:p w14:paraId="046C5C75">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1385757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151A5CF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1831DF8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0CC5063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058EAA3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3ABFB56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7D71FC7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00DA1DE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42AA53C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7D0D8F8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25C3B1D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6C7DA0E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68BDE25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457EB22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05B111C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22037CA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3F61670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759B1AD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56DBECB4">
      <w:pPr>
        <w:pStyle w:val="3"/>
        <w:keepNext w:val="0"/>
        <w:keepLines w:val="0"/>
        <w:widowControl/>
        <w:spacing w:before="299" w:after="299" w:line="240" w:lineRule="auto"/>
        <w:jc w:val="center"/>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66EB280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14:paraId="79DABC0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何成龙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0476-5988108- </w:t>
      </w:r>
    </w:p>
    <w:p w14:paraId="32E4C9C4">
      <w:pPr>
        <w:pStyle w:val="3"/>
        <w:keepNext w:val="0"/>
        <w:keepLines w:val="0"/>
        <w:widowControl/>
        <w:spacing w:before="299" w:after="299" w:line="240" w:lineRule="auto"/>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kern w:val="0"/>
          <w:sz w:val="36"/>
          <w:szCs w:val="36"/>
        </w:rPr>
        <w:t>第五部分 部门（单位）决算表</w:t>
      </w:r>
    </w:p>
    <w:p w14:paraId="1300802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bookmarkEnd w:id="0"/>
    <w:p w14:paraId="064DC7E7">
      <w:pPr>
        <w:tabs>
          <w:tab w:val="left" w:pos="8415"/>
        </w:tabs>
      </w:pPr>
      <w:bookmarkStart w:id="1" w:name="_GoBack"/>
      <w:bookmarkEnd w:id="1"/>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A47B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25</w:t>
    </w:r>
    <w:r>
      <w:rPr>
        <w:lang w:val="zh-CN"/>
      </w:rPr>
      <w:fldChar w:fldCharType="end"/>
    </w:r>
  </w:p>
  <w:p w14:paraId="2E0A9122">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23823663"/>
    <w:rsid w:val="51CD4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9614</Words>
  <Characters>10227</Characters>
  <Lines>1</Lines>
  <Paragraphs>1</Paragraphs>
  <TotalTime>0</TotalTime>
  <ScaleCrop>false</ScaleCrop>
  <LinksUpToDate>false</LinksUpToDate>
  <CharactersWithSpaces>11055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Yc.</cp:lastModifiedBy>
  <cp:lastPrinted>2021-04-16T00:45:00Z</cp:lastPrinted>
  <dcterms:modified xsi:type="dcterms:W3CDTF">2025-09-26T01:27:04Z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2052-12.1.0.22529</vt:lpwstr>
  </property>
  <property fmtid="{D5CDD505-2E9C-101B-9397-08002B2CF9AE}" pid="4" name="KSOTemplateDocerSaveRecord">
    <vt:lpwstr>eyJoZGlkIjoiNTM3N2FjNmE0OWY5YzBmYjYxOWY2ODY0N2I2NzVjMTgiLCJ1c2VySWQiOiIzNjY2NDMyMDAifQ==</vt:lpwstr>
  </property>
</Properties>
</file>