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年度赤峰市松山区第十七幼儿园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5D4A91A1">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61E9EFB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714851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48B7CB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7BD0797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0F358AC0">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365F6A5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233E649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2716C8E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7EF449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2CC556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3C56C8A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80C912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39DB4DB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44D6BD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0649F53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1628E8F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66000CC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15D99C8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30FB5EC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30C7885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1A72FCB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23B26DE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3C24C75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2281E94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70CB1D5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0F9782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22E4C02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1105A54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28FA405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0881FA3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48FE18D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0C7CC5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74D09F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299B2F8D">
      <w:pPr>
        <w:widowControl/>
        <w:spacing w:before="240" w:after="240"/>
        <w:rPr>
          <w:rFonts w:ascii="Times New Roman" w:hAnsi="Times New Roman" w:eastAsia="Times New Roman" w:cs="Times New Roman"/>
          <w:kern w:val="0"/>
          <w:sz w:val="24"/>
        </w:rPr>
      </w:pPr>
    </w:p>
    <w:p w14:paraId="6076B2F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6AE45CD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21299139">
      <w:pPr>
        <w:widowControl/>
        <w:spacing w:before="240" w:after="240"/>
        <w:jc w:val="left"/>
        <w:rPr>
          <w:rFonts w:hint="eastAsia" w:ascii="仿宋_GB2312" w:hAnsi="仿宋_GB2312" w:eastAsia="仿宋_GB2312" w:cs="仿宋_GB2312"/>
          <w:kern w:val="0"/>
          <w:sz w:val="27"/>
          <w:szCs w:val="27"/>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rPr>
        <w:t xml:space="preserve">（一）部门职能 </w:t>
      </w:r>
    </w:p>
    <w:p w14:paraId="7E63A602">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幼儿保育、幼儿教育。</w:t>
      </w:r>
    </w:p>
    <w:p w14:paraId="04E54D97">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二</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部门主要职责</w:t>
      </w:r>
    </w:p>
    <w:p w14:paraId="7CF27E87">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rPr>
        <w:t xml:space="preserve">实行保育和教育相结合的原则，对幼儿实施德、智、体、 美等全面发展的教育，促进其身心和谐发展。 </w:t>
      </w:r>
    </w:p>
    <w:p w14:paraId="6F87898A">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rPr>
        <w:t xml:space="preserve">贯彻落实党和国家的教育方针，教育政策法规，完成上 级主管部门交办的其它工作。 </w:t>
      </w:r>
    </w:p>
    <w:p w14:paraId="7F42FCB0">
      <w:pPr>
        <w:widowControl/>
        <w:spacing w:before="240" w:after="24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3、通过组织、指挥、协调、控制等管理职能，合理利用幼儿园建设与事业发展的各种资源确保保教质量的提高，较好地 实现预期的教育培养目标和服务家长的任务。确保学前教育持 续、稳定、健康发展。</w:t>
      </w:r>
    </w:p>
    <w:p w14:paraId="260C96C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2A51A55A">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1.根据部单位职责分工，本单位内设机构包括园本级及下设 独立预算单位共有1家，本单位无下属单位。其中：财政拨款的 行政单位0家，参照公务员法管理的事业单位为0家，公益一类事业单位为0家，公益二类事业单位1家。</w:t>
      </w:r>
    </w:p>
    <w:p w14:paraId="0CA37AB2">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在职人员基本情况，编制、实有情况：现单位共有编制人员15人。 聘用人员情况：现单位共有聘用人员40人。其中：合同制保教教师18人，合同制保育教师12人，保健医1人，财务人员2人，食堂工作人员6人 。</w:t>
      </w:r>
    </w:p>
    <w:p w14:paraId="336EA77B">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2.从决算单位构成看，纳入本财政汇总决算编制范围的预算单位共计1家，具体包括：赤峰市松山区第十七幼儿园。详细情况见表：</w:t>
      </w:r>
    </w:p>
    <w:tbl>
      <w:tblPr>
        <w:tblStyle w:val="18"/>
        <w:tblW w:w="9782" w:type="dxa"/>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802"/>
        <w:gridCol w:w="4512"/>
        <w:gridCol w:w="4468"/>
      </w:tblGrid>
      <w:tr w14:paraId="42E2C9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802" w:type="dxa"/>
            <w:tcBorders>
              <w:bottom w:val="inset" w:color="808080" w:sz="6" w:space="0"/>
              <w:right w:val="inset" w:color="808080" w:sz="6" w:space="0"/>
            </w:tcBorders>
            <w:noWrap w:val="0"/>
            <w:tcMar>
              <w:top w:w="22" w:type="dxa"/>
              <w:left w:w="22" w:type="dxa"/>
              <w:bottom w:w="22" w:type="dxa"/>
              <w:right w:w="22" w:type="dxa"/>
            </w:tcMar>
            <w:vAlign w:val="center"/>
          </w:tcPr>
          <w:p w14:paraId="3D5496C9">
            <w:pPr>
              <w:widowControl/>
              <w:jc w:val="center"/>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序号</w:t>
            </w:r>
          </w:p>
        </w:tc>
        <w:tc>
          <w:tcPr>
            <w:tcW w:w="4512" w:type="dxa"/>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C973293">
            <w:pPr>
              <w:widowControl/>
              <w:jc w:val="center"/>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单位名称</w:t>
            </w:r>
          </w:p>
        </w:tc>
        <w:tc>
          <w:tcPr>
            <w:tcW w:w="4468" w:type="dxa"/>
            <w:tcBorders>
              <w:left w:val="inset" w:color="808080" w:sz="6" w:space="0"/>
              <w:bottom w:val="inset" w:color="808080" w:sz="6" w:space="0"/>
            </w:tcBorders>
            <w:noWrap w:val="0"/>
            <w:tcMar>
              <w:top w:w="22" w:type="dxa"/>
              <w:left w:w="22" w:type="dxa"/>
              <w:bottom w:w="22" w:type="dxa"/>
              <w:right w:w="22" w:type="dxa"/>
            </w:tcMar>
            <w:vAlign w:val="center"/>
          </w:tcPr>
          <w:p w14:paraId="41177345">
            <w:pPr>
              <w:widowControl/>
              <w:jc w:val="center"/>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单位性质</w:t>
            </w:r>
          </w:p>
        </w:tc>
      </w:tr>
      <w:tr w14:paraId="1024BB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802" w:type="dxa"/>
            <w:tcBorders>
              <w:top w:val="inset" w:color="808080" w:sz="6" w:space="0"/>
              <w:right w:val="inset" w:color="808080" w:sz="6" w:space="0"/>
            </w:tcBorders>
            <w:noWrap w:val="0"/>
            <w:tcMar>
              <w:top w:w="22" w:type="dxa"/>
              <w:left w:w="22" w:type="dxa"/>
              <w:bottom w:w="22" w:type="dxa"/>
              <w:right w:w="22" w:type="dxa"/>
            </w:tcMar>
            <w:vAlign w:val="center"/>
          </w:tcPr>
          <w:p w14:paraId="7649F953">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kern w:val="0"/>
                <w:sz w:val="27"/>
                <w:szCs w:val="27"/>
                <w:lang w:val="en-US" w:eastAsia="zh-CN"/>
              </w:rPr>
              <w:t>1</w:t>
            </w:r>
          </w:p>
        </w:tc>
        <w:tc>
          <w:tcPr>
            <w:tcW w:w="4512"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2965F70C">
            <w:pPr>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仿宋_GB2312" w:hAnsi="仿宋_GB2312" w:eastAsia="仿宋_GB2312" w:cs="仿宋_GB2312"/>
                <w:kern w:val="0"/>
                <w:sz w:val="27"/>
                <w:szCs w:val="27"/>
                <w:lang w:val="en-US" w:eastAsia="zh-CN"/>
              </w:rPr>
              <w:t>赤峰市松山区第十七幼儿园</w:t>
            </w:r>
          </w:p>
        </w:tc>
        <w:tc>
          <w:tcPr>
            <w:tcW w:w="4468" w:type="dxa"/>
            <w:tcBorders>
              <w:top w:val="inset" w:color="808080" w:sz="6" w:space="0"/>
              <w:left w:val="inset" w:color="808080" w:sz="6" w:space="0"/>
            </w:tcBorders>
            <w:noWrap w:val="0"/>
            <w:tcMar>
              <w:top w:w="22" w:type="dxa"/>
              <w:left w:w="22" w:type="dxa"/>
              <w:bottom w:w="22" w:type="dxa"/>
              <w:right w:w="22" w:type="dxa"/>
            </w:tcMar>
            <w:vAlign w:val="center"/>
          </w:tcPr>
          <w:p w14:paraId="1C1764DA">
            <w:pPr>
              <w:widowControl/>
              <w:jc w:val="center"/>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公益二类事业单位</w:t>
            </w:r>
          </w:p>
        </w:tc>
      </w:tr>
    </w:tbl>
    <w:p w14:paraId="7567D63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070AD764">
      <w:pPr>
        <w:widowControl/>
        <w:spacing w:before="240" w:after="240"/>
        <w:jc w:val="left"/>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 xml:space="preserve"> 教育教学活动丰富多样：2024年4月，举办了首届风筝节系列活动，培养了孩子们热爱生活和大自然的感情，提高了幼儿的动手动脑能力。此外，还以国庆、春节等为契机，开展了国庆大合唱等活动，弘扬传统文化，加强幼儿的爱国主义教育。</w:t>
      </w:r>
    </w:p>
    <w:p w14:paraId="68A81090">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师资队伍建设加强：开展了一系列师德师风主题活动，如“师德放大镜”微视频创作、“师德漂流瓶”全园共创行动、“师德合伙人”家长共建计划等，还深入学习了《中华人民共和国学前教育法》，规范教师职业行为，明确师德底线。</w:t>
      </w:r>
    </w:p>
    <w:p w14:paraId="39B23D30">
      <w:pPr>
        <w:widowControl/>
        <w:spacing w:before="240" w:after="240"/>
        <w:jc w:val="left"/>
        <w:rPr>
          <w:rFonts w:hint="eastAsia" w:ascii="仿宋_GB2312" w:hAnsi="仿宋_GB2312" w:eastAsia="仿宋_GB2312" w:cs="仿宋_GB2312"/>
          <w:kern w:val="0"/>
          <w:sz w:val="27"/>
          <w:szCs w:val="27"/>
        </w:rPr>
      </w:pPr>
    </w:p>
    <w:p w14:paraId="3D16CCDE">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幼儿保育与健康管理到位：2024年9月，开展了近视防控宣传月活动，通过图片给孩子们讲解眼睛构造、介绍保护眼睛的重要性，还组织了做大眼睛的手工活动，增强幼儿爱眼护眼意识。同时，每学年会定期对孩子们进行视力筛查与检测。</w:t>
      </w:r>
    </w:p>
    <w:p w14:paraId="3E596FDE">
      <w:pPr>
        <w:widowControl/>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rPr>
        <w:t xml:space="preserve"> 接受督导评估促进发展：2024年12月接受了年度督导评估。园长向督评组详细汇报了2024年度工作开展情况。督评组通过多种方式对幼儿园的整体工作进行了全面督评，并给予了肯定评价和指导性建议。</w:t>
      </w:r>
    </w:p>
    <w:p w14:paraId="17D4DCF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142F7FC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14FA269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赤峰市松山区第十七幼儿园 2024年度收入、支出决算总计均为</w:t>
      </w:r>
      <w:r>
        <w:rPr>
          <w:rFonts w:eastAsia="Times New Roman"/>
          <w:color w:val="000000"/>
          <w:kern w:val="0"/>
          <w:sz w:val="27"/>
          <w:szCs w:val="27"/>
          <w:u w:val="none" w:color="auto"/>
        </w:rPr>
        <w:t>258.88</w:t>
      </w:r>
      <w:r>
        <w:rPr>
          <w:rFonts w:ascii="仿宋_GB2312" w:hAnsi="仿宋_GB2312" w:eastAsia="仿宋_GB2312" w:cs="仿宋_GB2312"/>
          <w:color w:val="000000"/>
          <w:kern w:val="0"/>
          <w:sz w:val="27"/>
          <w:szCs w:val="27"/>
        </w:rPr>
        <w:t>万元。与年初预算相比，收、支总计减少</w:t>
      </w:r>
      <w:r>
        <w:rPr>
          <w:rFonts w:eastAsia="Times New Roman"/>
          <w:color w:val="000000"/>
          <w:kern w:val="0"/>
          <w:sz w:val="27"/>
          <w:szCs w:val="27"/>
          <w:u w:val="none" w:color="auto"/>
        </w:rPr>
        <w:t>57.49</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none" w:color="auto"/>
        </w:rPr>
        <w:t>18.17</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我单位部分月份聘用人员工资保险、幼儿园2024年度取暖费、2024年度物业费等结转到2025年度支付</w:t>
      </w:r>
      <w:r>
        <w:rPr>
          <w:rFonts w:ascii="仿宋_GB2312" w:hAnsi="仿宋_GB2312" w:eastAsia="仿宋_GB2312" w:cs="仿宋_GB2312"/>
          <w:color w:val="000000"/>
          <w:kern w:val="0"/>
          <w:sz w:val="27"/>
          <w:szCs w:val="27"/>
        </w:rPr>
        <w:t>；与上年决算相比，收、支总计各减</w:t>
      </w:r>
      <w:r>
        <w:rPr>
          <w:rFonts w:eastAsia="Times New Roman"/>
          <w:color w:val="000000"/>
          <w:kern w:val="0"/>
          <w:sz w:val="27"/>
          <w:szCs w:val="27"/>
          <w:u w:val="none" w:color="auto"/>
        </w:rPr>
        <w:t>190.06</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none" w:color="auto"/>
        </w:rPr>
        <w:t>42.33</w:t>
      </w:r>
      <w:r>
        <w:rPr>
          <w:rFonts w:ascii="仿宋_GB2312" w:hAnsi="仿宋_GB2312" w:eastAsia="仿宋_GB2312" w:cs="仿宋_GB2312"/>
          <w:color w:val="000000"/>
          <w:kern w:val="0"/>
          <w:sz w:val="27"/>
          <w:szCs w:val="27"/>
        </w:rPr>
        <w:t>%。其中：</w:t>
      </w:r>
    </w:p>
    <w:p w14:paraId="05A0FBC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none" w:color="auto"/>
        </w:rPr>
        <w:t> 258.88</w:t>
      </w:r>
      <w:r>
        <w:rPr>
          <w:rFonts w:ascii="kai_ti_gb2312" w:hAnsi="kai_ti_gb2312" w:eastAsia="kai_ti_gb2312" w:cs="kai_ti_gb2312"/>
          <w:b/>
          <w:bCs/>
          <w:color w:val="000000"/>
          <w:kern w:val="0"/>
          <w:sz w:val="27"/>
          <w:szCs w:val="27"/>
        </w:rPr>
        <w:t>万元。包括：</w:t>
      </w:r>
    </w:p>
    <w:p w14:paraId="2E950CA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none" w:color="auto"/>
        </w:rPr>
        <w:t> 258.88</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none" w:color="auto"/>
        </w:rPr>
        <w:t>190.06</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none" w:color="auto"/>
        </w:rPr>
        <w:t>42.33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我单位部分月份聘用人员工资保险、幼儿园2024年度取暖费、2024年度物业费等结转到2025年度支付，2023年有部分工程款支付2024年没有导致收入决算金额较上年减少</w:t>
      </w:r>
      <w:r>
        <w:rPr>
          <w:rFonts w:ascii="仿宋_GB2312" w:hAnsi="仿宋_GB2312" w:eastAsia="仿宋_GB2312" w:cs="仿宋_GB2312"/>
          <w:color w:val="000000"/>
          <w:kern w:val="0"/>
          <w:sz w:val="27"/>
          <w:szCs w:val="27"/>
        </w:rPr>
        <w:t>。</w:t>
      </w:r>
    </w:p>
    <w:p w14:paraId="4C9FB1E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hint="eastAsia" w:ascii="仿宋_GB2312" w:hAnsi="仿宋_GB2312" w:eastAsia="仿宋_GB2312" w:cs="仿宋_GB2312"/>
          <w:color w:val="000000"/>
          <w:kern w:val="0"/>
          <w:sz w:val="27"/>
          <w:szCs w:val="27"/>
          <w:lang w:eastAsia="zh-CN"/>
        </w:rPr>
        <w:t>）</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lang w:val="en-US" w:eastAsia="zh-CN"/>
        </w:rPr>
        <w:t>变动原因：本单位不存</w:t>
      </w:r>
      <w:bookmarkStart w:id="1" w:name="_GoBack"/>
      <w:bookmarkEnd w:id="1"/>
      <w:r>
        <w:rPr>
          <w:rFonts w:hint="eastAsia" w:ascii="仿宋_GB2312" w:hAnsi="仿宋_GB2312" w:eastAsia="仿宋_GB2312" w:cs="仿宋_GB2312"/>
          <w:color w:val="000000"/>
          <w:kern w:val="0"/>
          <w:sz w:val="27"/>
          <w:szCs w:val="27"/>
          <w:lang w:val="en-US" w:eastAsia="zh-CN"/>
        </w:rPr>
        <w:t>在此项内容</w:t>
      </w:r>
      <w:r>
        <w:rPr>
          <w:rFonts w:ascii="仿宋_GB2312" w:hAnsi="仿宋_GB2312" w:eastAsia="仿宋_GB2312" w:cs="仿宋_GB2312"/>
          <w:color w:val="000000"/>
          <w:kern w:val="0"/>
          <w:sz w:val="27"/>
          <w:szCs w:val="27"/>
        </w:rPr>
        <w:t>。</w:t>
      </w:r>
    </w:p>
    <w:p w14:paraId="44D8B6D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none" w:color="auto"/>
        </w:rPr>
        <w:t> </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7975EDE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none" w:color="auto"/>
        </w:rPr>
        <w:t> 258.88</w:t>
      </w:r>
      <w:r>
        <w:rPr>
          <w:rFonts w:ascii="kai_ti_gb2312" w:hAnsi="kai_ti_gb2312" w:eastAsia="kai_ti_gb2312" w:cs="kai_ti_gb2312"/>
          <w:b/>
          <w:bCs/>
          <w:color w:val="000000"/>
          <w:kern w:val="0"/>
          <w:sz w:val="27"/>
          <w:szCs w:val="27"/>
        </w:rPr>
        <w:t>万元。包括：</w:t>
      </w:r>
    </w:p>
    <w:p w14:paraId="3317A3E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none" w:color="auto"/>
        </w:rPr>
        <w:t> 258.88</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none" w:color="auto"/>
        </w:rPr>
        <w:t>190.06</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none" w:color="auto"/>
        </w:rPr>
        <w:t>42.33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我单位部分月份聘用人员工资保险、幼儿园2024年度取暖费、2024年度物业费等结转到2025年度支付，2023年有部分工程款支付2024年没有导致收入决算金额较上年减少</w:t>
      </w:r>
      <w:r>
        <w:rPr>
          <w:rFonts w:ascii="仿宋_GB2312" w:hAnsi="仿宋_GB2312" w:eastAsia="仿宋_GB2312" w:cs="仿宋_GB2312"/>
          <w:color w:val="000000"/>
          <w:kern w:val="0"/>
          <w:sz w:val="27"/>
          <w:szCs w:val="27"/>
        </w:rPr>
        <w:t>。</w:t>
      </w:r>
    </w:p>
    <w:p w14:paraId="7BB87B6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none" w:color="auto"/>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万元，增</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78D876F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本单位不存在此项内容</w:t>
      </w:r>
      <w:r>
        <w:rPr>
          <w:rFonts w:ascii="仿宋_GB2312" w:hAnsi="仿宋_GB2312" w:eastAsia="仿宋_GB2312" w:cs="仿宋_GB2312"/>
          <w:color w:val="000000"/>
          <w:kern w:val="0"/>
          <w:sz w:val="27"/>
          <w:szCs w:val="27"/>
        </w:rPr>
        <w:t>。</w:t>
      </w:r>
    </w:p>
    <w:p w14:paraId="4F39161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3D7682A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none" w:color="auto"/>
        </w:rPr>
        <w:t>258.88</w:t>
      </w:r>
      <w:r>
        <w:rPr>
          <w:rFonts w:ascii="仿宋_GB2312" w:hAnsi="仿宋_GB2312" w:eastAsia="仿宋_GB2312" w:cs="仿宋_GB2312"/>
          <w:color w:val="000000"/>
          <w:kern w:val="0"/>
          <w:sz w:val="27"/>
          <w:szCs w:val="27"/>
        </w:rPr>
        <w:t>万元，其中：</w:t>
      </w:r>
    </w:p>
    <w:p w14:paraId="3AF9625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none" w:color="auto"/>
        </w:rPr>
        <w:t> 258.88</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100.00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w:t>
      </w:r>
    </w:p>
    <w:p w14:paraId="11BE672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3FFB270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4BDBB10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0078DCA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7AE3A1A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5544973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73B695A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rPr>
        <w:t>%。</w:t>
      </w:r>
    </w:p>
    <w:p w14:paraId="380BCE86">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42.5pt;width:387.95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14:paraId="093B086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310A848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4FCF79E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赤峰市松山区第十七幼儿园 2024年度本年支出决算合计</w:t>
      </w:r>
      <w:r>
        <w:rPr>
          <w:rFonts w:ascii="times_new_roman" w:hAnsi="times_new_roman" w:eastAsia="times_new_roman" w:cs="times_new_roman"/>
          <w:color w:val="000000"/>
          <w:kern w:val="0"/>
          <w:sz w:val="27"/>
          <w:szCs w:val="27"/>
          <w:u w:val="none" w:color="auto"/>
        </w:rPr>
        <w:t>258.88</w:t>
      </w:r>
      <w:r>
        <w:rPr>
          <w:rFonts w:ascii="仿宋_GB2312" w:hAnsi="仿宋_GB2312" w:eastAsia="仿宋_GB2312" w:cs="仿宋_GB2312"/>
          <w:color w:val="000000"/>
          <w:kern w:val="0"/>
          <w:sz w:val="27"/>
          <w:szCs w:val="27"/>
        </w:rPr>
        <w:t>万元，其中：</w:t>
      </w:r>
    </w:p>
    <w:p w14:paraId="44A866B5">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rPr>
        <w:t xml:space="preserve">    </w:t>
      </w:r>
      <w:r>
        <w:rPr>
          <w:rFonts w:ascii="仿宋_GB2312" w:hAnsi="仿宋_GB2312" w:eastAsia="仿宋_GB2312" w:cs="仿宋_GB2312"/>
          <w:color w:val="000000"/>
          <w:kern w:val="0"/>
          <w:sz w:val="27"/>
          <w:szCs w:val="27"/>
          <w:u w:val="none" w:color="auto"/>
        </w:rPr>
        <w:t>本年基本支出</w:t>
      </w:r>
      <w:r>
        <w:rPr>
          <w:rFonts w:ascii="times_new_roman" w:hAnsi="times_new_roman" w:eastAsia="times_new_roman" w:cs="times_new_roman"/>
          <w:color w:val="000000"/>
          <w:kern w:val="0"/>
          <w:sz w:val="27"/>
          <w:szCs w:val="27"/>
          <w:u w:val="none" w:color="auto"/>
        </w:rPr>
        <w:t>258.88</w:t>
      </w:r>
      <w:r>
        <w:rPr>
          <w:rFonts w:ascii="仿宋_GB2312" w:hAnsi="仿宋_GB2312" w:eastAsia="仿宋_GB2312" w:cs="仿宋_GB2312"/>
          <w:color w:val="000000"/>
          <w:kern w:val="0"/>
          <w:sz w:val="27"/>
          <w:szCs w:val="27"/>
          <w:u w:val="none" w:color="auto"/>
        </w:rPr>
        <w:t>万元，占</w:t>
      </w:r>
      <w:r>
        <w:rPr>
          <w:rFonts w:ascii="times_new_roman" w:hAnsi="times_new_roman" w:eastAsia="times_new_roman" w:cs="times_new_roman"/>
          <w:color w:val="000000"/>
          <w:kern w:val="0"/>
          <w:sz w:val="27"/>
          <w:szCs w:val="27"/>
          <w:u w:val="none" w:color="auto"/>
        </w:rPr>
        <w:t>100.00</w:t>
      </w:r>
      <w:r>
        <w:rPr>
          <w:rFonts w:ascii="仿宋_GB2312" w:hAnsi="仿宋_GB2312" w:eastAsia="仿宋_GB2312" w:cs="仿宋_GB2312"/>
          <w:color w:val="000000"/>
          <w:kern w:val="0"/>
          <w:sz w:val="27"/>
          <w:szCs w:val="27"/>
          <w:u w:val="none" w:color="auto"/>
        </w:rPr>
        <w:t>%；</w:t>
      </w:r>
    </w:p>
    <w:p w14:paraId="2CC01010">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u w:val="none" w:color="auto"/>
        </w:rPr>
        <w:t>    本年项目支出</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p>
    <w:p w14:paraId="2AFE9AC9">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u w:val="none" w:color="auto"/>
        </w:rPr>
        <w:t>    本年上缴上级支出</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p>
    <w:p w14:paraId="2DF5F873">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u w:val="none" w:color="auto"/>
        </w:rPr>
        <w:t>    本年经营支出</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p>
    <w:p w14:paraId="3C79BBF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u w:val="none" w:color="auto"/>
        </w:rPr>
        <w:t>    本年对附属单位补助支出</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p>
    <w:p w14:paraId="0A49EBC0">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45.2pt;width:392.3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398F3906">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491893D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161CB13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none" w:color="auto"/>
        </w:rPr>
        <w:t>258.88</w:t>
      </w:r>
      <w:r>
        <w:rPr>
          <w:rFonts w:ascii="仿宋_GB2312" w:hAnsi="仿宋_GB2312" w:eastAsia="仿宋_GB2312" w:cs="仿宋_GB2312"/>
          <w:color w:val="000000"/>
          <w:kern w:val="0"/>
          <w:sz w:val="27"/>
          <w:szCs w:val="27"/>
          <w:u w:val="none" w:color="auto"/>
        </w:rPr>
        <w:t>万元，与年初预算相比，收、支总计各减少</w:t>
      </w:r>
      <w:r>
        <w:rPr>
          <w:rFonts w:ascii="times_new_roman" w:hAnsi="times_new_roman" w:eastAsia="times_new_roman" w:cs="times_new_roman"/>
          <w:color w:val="000000"/>
          <w:kern w:val="0"/>
          <w:sz w:val="27"/>
          <w:szCs w:val="27"/>
          <w:u w:val="none" w:color="auto"/>
        </w:rPr>
        <w:t>57.49</w:t>
      </w:r>
      <w:r>
        <w:rPr>
          <w:rFonts w:ascii="仿宋_GB2312" w:hAnsi="仿宋_GB2312" w:eastAsia="仿宋_GB2312" w:cs="仿宋_GB2312"/>
          <w:color w:val="000000"/>
          <w:kern w:val="0"/>
          <w:sz w:val="27"/>
          <w:szCs w:val="27"/>
          <w:u w:val="none" w:color="auto"/>
        </w:rPr>
        <w:t>万元，下降</w:t>
      </w:r>
      <w:r>
        <w:rPr>
          <w:rFonts w:ascii="times_new_roman" w:hAnsi="times_new_roman" w:eastAsia="times_new_roman" w:cs="times_new_roman"/>
          <w:color w:val="000000"/>
          <w:kern w:val="0"/>
          <w:sz w:val="27"/>
          <w:szCs w:val="27"/>
          <w:u w:val="none" w:color="auto"/>
        </w:rPr>
        <w:t>18.17</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val="en-US" w:eastAsia="zh-CN"/>
        </w:rPr>
        <w:t>我单位部分月份聘用人员工资保险、幼儿园2024年度取暖费、2024年度物业费等结转到2025年度支付，2023年有部分工程款支付2024年没有导致收入决算金额较上年减少</w:t>
      </w:r>
      <w:r>
        <w:rPr>
          <w:rFonts w:ascii="仿宋_GB2312" w:hAnsi="仿宋_GB2312" w:eastAsia="仿宋_GB2312" w:cs="仿宋_GB2312"/>
          <w:color w:val="000000"/>
          <w:kern w:val="0"/>
          <w:sz w:val="27"/>
          <w:szCs w:val="27"/>
          <w:u w:val="none" w:color="auto"/>
        </w:rPr>
        <w:t>；与上年决算相比，收、支总计各减</w:t>
      </w:r>
      <w:r>
        <w:rPr>
          <w:rFonts w:ascii="times_new_roman" w:hAnsi="times_new_roman" w:eastAsia="times_new_roman" w:cs="times_new_roman"/>
          <w:color w:val="000000"/>
          <w:kern w:val="0"/>
          <w:sz w:val="27"/>
          <w:szCs w:val="27"/>
          <w:u w:val="none" w:color="auto"/>
        </w:rPr>
        <w:t>190.06</w:t>
      </w:r>
      <w:r>
        <w:rPr>
          <w:rFonts w:ascii="仿宋_GB2312" w:hAnsi="仿宋_GB2312" w:eastAsia="仿宋_GB2312" w:cs="仿宋_GB2312"/>
          <w:color w:val="000000"/>
          <w:kern w:val="0"/>
          <w:sz w:val="27"/>
          <w:szCs w:val="27"/>
          <w:u w:val="none" w:color="auto"/>
        </w:rPr>
        <w:t>万元，下降</w:t>
      </w:r>
      <w:r>
        <w:rPr>
          <w:rFonts w:ascii="times_new_roman" w:hAnsi="times_new_roman" w:eastAsia="times_new_roman" w:cs="times_new_roman"/>
          <w:color w:val="000000"/>
          <w:kern w:val="0"/>
          <w:sz w:val="27"/>
          <w:szCs w:val="27"/>
          <w:u w:val="none" w:color="auto"/>
        </w:rPr>
        <w:t>42.33</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我单位部分月份聘用人员工资保险、幼儿园2024年度取暖费、2024年度物业费等结转到2025年度支付，2023年有部分工程款支付2024年没有导致收入决算金额较上年减少</w:t>
      </w:r>
      <w:r>
        <w:rPr>
          <w:rFonts w:ascii="仿宋_GB2312" w:hAnsi="仿宋_GB2312" w:eastAsia="仿宋_GB2312" w:cs="仿宋_GB2312"/>
          <w:color w:val="000000"/>
          <w:kern w:val="0"/>
          <w:sz w:val="27"/>
          <w:szCs w:val="27"/>
        </w:rPr>
        <w:t>。</w:t>
      </w:r>
    </w:p>
    <w:p w14:paraId="150F39F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5B37932">
      <w:pPr>
        <w:widowControl/>
        <w:spacing w:before="240" w:after="240"/>
        <w:ind w:firstLine="5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none" w:color="auto"/>
        </w:rPr>
        <w:t>258.88</w:t>
      </w:r>
      <w:r>
        <w:rPr>
          <w:rFonts w:ascii="仿宋_GB2312" w:hAnsi="仿宋_GB2312" w:eastAsia="仿宋_GB2312" w:cs="仿宋_GB2312"/>
          <w:color w:val="000000"/>
          <w:kern w:val="0"/>
          <w:sz w:val="27"/>
          <w:szCs w:val="27"/>
          <w:u w:val="none" w:color="auto"/>
        </w:rPr>
        <w:t>万元。与年初预算</w:t>
      </w:r>
      <w:r>
        <w:rPr>
          <w:rFonts w:eastAsia="Times New Roman"/>
          <w:color w:val="000000"/>
          <w:kern w:val="0"/>
          <w:sz w:val="27"/>
          <w:szCs w:val="27"/>
          <w:u w:val="none" w:color="auto"/>
        </w:rPr>
        <w:t>316.37</w:t>
      </w:r>
      <w:r>
        <w:rPr>
          <w:rFonts w:ascii="仿宋_GB2312" w:hAnsi="仿宋_GB2312" w:eastAsia="仿宋_GB2312" w:cs="仿宋_GB2312"/>
          <w:color w:val="000000"/>
          <w:kern w:val="0"/>
          <w:sz w:val="27"/>
          <w:szCs w:val="27"/>
          <w:u w:val="none" w:color="auto"/>
        </w:rPr>
        <w:t>万元相比，完成年初预算的</w:t>
      </w:r>
      <w:r>
        <w:rPr>
          <w:rFonts w:eastAsia="Times New Roman"/>
          <w:color w:val="000000"/>
          <w:kern w:val="0"/>
          <w:sz w:val="27"/>
          <w:szCs w:val="27"/>
          <w:u w:val="none" w:color="auto"/>
        </w:rPr>
        <w:t xml:space="preserve"> 81.83</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。其中：</w:t>
      </w:r>
    </w:p>
    <w:p w14:paraId="05B2CA13">
      <w:pPr>
        <w:widowControl/>
        <w:spacing w:before="240" w:after="240"/>
        <w:jc w:val="left"/>
        <w:rPr>
          <w:rFonts w:ascii="Times New Roman" w:hAnsi="Times New Roman" w:eastAsia="Times New Roman" w:cs="Times New Roman"/>
          <w:kern w:val="0"/>
          <w:sz w:val="24"/>
        </w:rPr>
      </w:pPr>
      <w:r>
        <w:rPr>
          <w:rFonts w:hint="eastAsia" w:ascii="kai_ti_gb2312" w:hAnsi="kai_ti_gb2312" w:eastAsia="kai_ti_gb2312" w:cs="kai_ti_gb2312"/>
          <w:b/>
          <w:bCs/>
          <w:color w:val="000000"/>
          <w:kern w:val="0"/>
          <w:sz w:val="27"/>
          <w:szCs w:val="27"/>
          <w:lang w:val="en-US" w:eastAsia="zh-CN"/>
        </w:rPr>
        <w:t>（一）教育支出（类）</w:t>
      </w:r>
    </w:p>
    <w:p w14:paraId="3DA88176">
      <w:pPr>
        <w:widowControl/>
        <w:spacing w:before="240" w:after="240"/>
        <w:ind w:firstLine="5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教育支出类决算数为217.44万元，年初预算301.85万元与年初预算相比减少84.41万元。其中：</w:t>
      </w:r>
    </w:p>
    <w:p w14:paraId="52DD0F89">
      <w:pPr>
        <w:widowControl/>
        <w:spacing w:before="240" w:after="240"/>
        <w:ind w:firstLine="5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普通教育（款）学前教育（项）。年初预算301.85万元，决算支出217.44万元，完成年初预算的72.04%。决算数与年初预算数的差异原因：部分月份聘用人员工资、取暖费等结转至下年度支付导致完成年初预算百分比较低。</w:t>
      </w:r>
    </w:p>
    <w:p w14:paraId="45F77BF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kai_ti_gb2312" w:hAnsi="kai_ti_gb2312" w:eastAsia="kai_ti_gb2312" w:cs="kai_ti_gb2312"/>
          <w:b/>
          <w:bCs/>
          <w:color w:val="000000"/>
          <w:kern w:val="0"/>
          <w:sz w:val="27"/>
          <w:szCs w:val="27"/>
          <w:lang w:val="en-US" w:eastAsia="zh-CN"/>
        </w:rPr>
        <w:t>（二）社会保障和就业支出（类）</w:t>
      </w:r>
    </w:p>
    <w:p w14:paraId="2716A5E2">
      <w:pPr>
        <w:widowControl/>
        <w:spacing w:before="240" w:after="240"/>
        <w:ind w:firstLine="520"/>
        <w:rPr>
          <w:rFonts w:hint="eastAsia" w:ascii="仿宋_GB2312" w:hAnsi="仿宋_GB2312" w:eastAsia="仿宋_GB2312" w:cs="仿宋_GB2312"/>
          <w:color w:val="000000"/>
          <w:kern w:val="0"/>
          <w:sz w:val="27"/>
          <w:szCs w:val="27"/>
          <w:lang w:val="en-US" w:eastAsia="zh-CN"/>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color w:val="000000"/>
          <w:kern w:val="0"/>
          <w:sz w:val="27"/>
          <w:szCs w:val="27"/>
          <w:lang w:val="en-US" w:eastAsia="zh-CN"/>
        </w:rPr>
        <w:t>社会保障和就业支出类决算数为18.56万元，与年初预算相比增加10.69万元。其中：</w:t>
      </w:r>
    </w:p>
    <w:p w14:paraId="7DC685DD">
      <w:pPr>
        <w:widowControl/>
        <w:spacing w:before="240" w:after="240"/>
        <w:ind w:firstLine="5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1．行政事业单位养老支出机关事业单位基本养老保险缴费支出。年初预算5.09万元，支出决算17.79万元，完成年初预算的349.51%。决算数与年初预算数的差异原因：一是2023年9月新考录在编教师11人，调入1人，此12人为后续追加的保险指标未列入年初预算。二是缴费基数调整。</w:t>
      </w:r>
    </w:p>
    <w:p w14:paraId="5E2F99F1">
      <w:pPr>
        <w:widowControl/>
        <w:spacing w:before="240" w:after="240"/>
        <w:ind w:firstLine="5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2．行政事业单位养老支出机关事业单位职业年金缴费支出。年初预算2.54万元，支出决算0万元，完成年初预算的0%。决算数与年初预算数的差异原因：本年度我单位无退休及调出人员，无职业年金支出。</w:t>
      </w:r>
    </w:p>
    <w:p w14:paraId="68D864BC">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Times New Roman"/>
          <w:color w:val="auto"/>
          <w:kern w:val="2"/>
          <w:sz w:val="32"/>
          <w:szCs w:val="24"/>
          <w:lang w:val="en-US" w:eastAsia="zh-CN"/>
        </w:rPr>
        <w:t xml:space="preserve">    </w:t>
      </w:r>
      <w:r>
        <w:rPr>
          <w:rFonts w:hint="eastAsia" w:ascii="仿宋_GB2312" w:hAnsi="仿宋_GB2312" w:eastAsia="仿宋_GB2312" w:cs="仿宋_GB2312"/>
          <w:color w:val="000000"/>
          <w:kern w:val="0"/>
          <w:sz w:val="27"/>
          <w:szCs w:val="27"/>
          <w:lang w:val="en-US" w:eastAsia="zh-CN"/>
        </w:rPr>
        <w:t>3．其他社会保障和就业支出其他社会保障和就业支出。年初预算0.24万元，支出决算0.77万元，完成年初预算的320.83%。决算数与年初预算数的差异原因：一是2023年9月新考录在编教师11人，调入1人，此12人为后续追加的保险指标，2024年做预算时候系统只测算出原来本单位3位在编人员工资保险其余12人工资保险未列入年初预算。二是缴费基数调整。</w:t>
      </w:r>
    </w:p>
    <w:p w14:paraId="2F1D3F5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楷体" w:hAnsi="楷体" w:eastAsia="楷体" w:cs="Times New Roman"/>
          <w:b/>
          <w:color w:val="auto"/>
          <w:kern w:val="2"/>
          <w:sz w:val="32"/>
          <w:szCs w:val="24"/>
          <w:lang w:val="en-US" w:eastAsia="zh-CN"/>
        </w:rPr>
        <w:t xml:space="preserve"> </w:t>
      </w:r>
      <w:r>
        <w:rPr>
          <w:rFonts w:hint="eastAsia" w:ascii="kai_ti_gb2312" w:hAnsi="kai_ti_gb2312" w:eastAsia="kai_ti_gb2312" w:cs="kai_ti_gb2312"/>
          <w:b/>
          <w:bCs/>
          <w:color w:val="000000"/>
          <w:kern w:val="0"/>
          <w:sz w:val="27"/>
          <w:szCs w:val="27"/>
          <w:lang w:val="en-US" w:eastAsia="zh-CN"/>
        </w:rPr>
        <w:t>（三）卫生健康支出（类）</w:t>
      </w:r>
    </w:p>
    <w:p w14:paraId="0C8CB65D">
      <w:pPr>
        <w:widowControl/>
        <w:spacing w:before="240" w:after="240"/>
        <w:rPr>
          <w:rFonts w:hint="eastAsia" w:ascii="仿宋_GB2312" w:hAnsi="仿宋_GB2312" w:eastAsia="仿宋_GB2312" w:cs="仿宋_GB2312"/>
          <w:color w:val="000000"/>
          <w:kern w:val="0"/>
          <w:sz w:val="27"/>
          <w:szCs w:val="27"/>
          <w:lang w:val="en-US" w:eastAsia="zh-CN"/>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color w:val="000000"/>
          <w:kern w:val="0"/>
          <w:sz w:val="27"/>
          <w:szCs w:val="27"/>
          <w:lang w:val="en-US" w:eastAsia="zh-CN"/>
        </w:rPr>
        <w:t>卫生健康支出类决算数为8.23万元，与年初预算相比增加5.79万元。其中：</w:t>
      </w:r>
    </w:p>
    <w:p w14:paraId="7366EC66">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1．行政事业单位医疗（款）事业单位医疗（项）。年初预算2.44万元，支出决算8.23万元，完成年初预算的337.3%。决算数与年初预算数的差异原因：一是2023年9月新考录在编教师11人，调入1人，此12人为后续追加的保险指标未列入年初预算。二是缴费基数调整。</w:t>
      </w:r>
    </w:p>
    <w:p w14:paraId="5F9E46EB">
      <w:pPr>
        <w:widowControl/>
        <w:spacing w:before="240" w:after="240"/>
        <w:jc w:val="left"/>
        <w:rPr>
          <w:rFonts w:ascii="kai_ti_gb2312" w:hAnsi="kai_ti_gb2312" w:eastAsia="kai_ti_gb2312" w:cs="kai_ti_gb2312"/>
          <w:b/>
          <w:bCs/>
          <w:color w:val="000000"/>
          <w:kern w:val="0"/>
          <w:sz w:val="27"/>
          <w:szCs w:val="27"/>
        </w:rPr>
      </w:pPr>
      <w:r>
        <w:rPr>
          <w:rFonts w:ascii="kai_ti_gb2312" w:hAnsi="kai_ti_gb2312" w:eastAsia="kai_ti_gb2312" w:cs="kai_ti_gb2312"/>
          <w:b/>
          <w:bCs/>
          <w:color w:val="000000"/>
          <w:kern w:val="0"/>
          <w:sz w:val="27"/>
          <w:szCs w:val="27"/>
        </w:rPr>
        <w:t xml:space="preserve">    </w:t>
      </w:r>
      <w:r>
        <w:rPr>
          <w:rFonts w:hint="eastAsia" w:ascii="kai_ti_gb2312" w:hAnsi="kai_ti_gb2312" w:eastAsia="kai_ti_gb2312" w:cs="kai_ti_gb2312"/>
          <w:b/>
          <w:bCs/>
          <w:color w:val="000000"/>
          <w:kern w:val="0"/>
          <w:sz w:val="27"/>
          <w:szCs w:val="27"/>
          <w:lang w:val="en-US" w:eastAsia="zh-CN"/>
        </w:rPr>
        <w:t>（四）住房保障支出（类）</w:t>
      </w:r>
    </w:p>
    <w:p w14:paraId="58402BA4">
      <w:pPr>
        <w:widowControl/>
        <w:spacing w:before="240" w:after="240"/>
        <w:rPr>
          <w:rFonts w:hint="eastAsia" w:ascii="仿宋_GB2312" w:hAnsi="仿宋_GB2312" w:eastAsia="仿宋_GB2312" w:cs="仿宋_GB2312"/>
          <w:color w:val="000000"/>
          <w:kern w:val="0"/>
          <w:sz w:val="27"/>
          <w:szCs w:val="27"/>
          <w:lang w:val="en-US" w:eastAsia="zh-CN"/>
        </w:rPr>
      </w:pPr>
      <w:r>
        <w:rPr>
          <w:rFonts w:ascii="fang_song_gb2312" w:hAnsi="fang_song_gb2312" w:eastAsia="fang_song_gb2312" w:cs="fang_song_gb2312"/>
          <w:kern w:val="0"/>
          <w:sz w:val="27"/>
          <w:szCs w:val="27"/>
        </w:rPr>
        <w:t xml:space="preserve">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住房保障支出（类）决算数为14.65万元，与年初预算相比增加10.45万元。其中：</w:t>
      </w:r>
    </w:p>
    <w:p w14:paraId="7A188285">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1．住房改革支出（款）住房公积金（项）。年初预算4.2万元，支出决算14.65万元，完成年初预算的348.81%。决算数与年初预算数的差异原因：一是2023年9月新考录在编教师11人，调入1人，此12人为后续追加的保险指标，2024年做预算时候系统只测算出原来本单位3位在编人员保险公积金其余12人保险公积金未列入年初预算。二是缴费基数调整。</w:t>
      </w:r>
    </w:p>
    <w:p w14:paraId="5F282F6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0FDAC93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赤峰市松山区第十七幼儿园 2024年度一般公共预算财政拨款基本支出决算</w:t>
      </w:r>
      <w:r>
        <w:rPr>
          <w:rFonts w:ascii="times_new_roman" w:hAnsi="times_new_roman" w:eastAsia="times_new_roman" w:cs="times_new_roman"/>
          <w:color w:val="000000"/>
          <w:kern w:val="0"/>
          <w:sz w:val="27"/>
          <w:szCs w:val="27"/>
          <w:u w:val="none" w:color="auto"/>
        </w:rPr>
        <w:t>258.88</w:t>
      </w:r>
      <w:r>
        <w:rPr>
          <w:rFonts w:ascii="仿宋_GB2312" w:hAnsi="仿宋_GB2312" w:eastAsia="仿宋_GB2312" w:cs="仿宋_GB2312"/>
          <w:color w:val="000000"/>
          <w:kern w:val="0"/>
          <w:sz w:val="27"/>
          <w:szCs w:val="27"/>
        </w:rPr>
        <w:t>万元，其中：</w:t>
      </w:r>
    </w:p>
    <w:p w14:paraId="4275948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none" w:color="auto"/>
        </w:rPr>
        <w:t>230.64</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51.4万元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17.41万元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8.33万元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33.35万元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17.79万元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其他社会保障缴费0.77万元</w:t>
      </w:r>
      <w:r>
        <w:rPr>
          <w:rFonts w:hint="eastAsia" w:ascii="仿宋_GB2312" w:hAnsi="仿宋_GB2312" w:eastAsia="仿宋_GB2312" w:cs="Times New Roman"/>
          <w:color w:val="auto"/>
          <w:kern w:val="2"/>
          <w:sz w:val="32"/>
          <w:szCs w:val="24"/>
          <w:lang w:val="en-US" w:eastAsia="zh-CN"/>
        </w:rPr>
        <w:t>、</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8.23万元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14.65万元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rPr>
        <w:t>78.7</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p>
    <w:p w14:paraId="3895649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none" w:color="auto"/>
        </w:rPr>
        <w:t>28.24</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val="en-US" w:eastAsia="zh-CN"/>
        </w:rPr>
        <w:t>5.49万元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2万元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5.7万元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0.55万元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4.5万元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lang w:val="en-US" w:eastAsia="zh-CN"/>
        </w:rPr>
        <w:t>1.31万元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lang w:val="en-US" w:eastAsia="zh-CN"/>
        </w:rPr>
        <w:t>0.47万元</w:t>
      </w:r>
      <w:r>
        <w:rPr>
          <w:rFonts w:ascii="仿宋_GB2312" w:hAnsi="仿宋_GB2312" w:eastAsia="仿宋_GB2312" w:cs="仿宋_GB2312"/>
          <w:color w:val="000000"/>
          <w:kern w:val="0"/>
          <w:sz w:val="27"/>
          <w:szCs w:val="27"/>
        </w:rPr>
        <w:t>、办公设备购置</w:t>
      </w:r>
      <w:r>
        <w:rPr>
          <w:rFonts w:hint="eastAsia" w:ascii="仿宋_GB2312" w:hAnsi="仿宋_GB2312" w:eastAsia="仿宋_GB2312" w:cs="仿宋_GB2312"/>
          <w:color w:val="000000"/>
          <w:kern w:val="0"/>
          <w:sz w:val="27"/>
          <w:szCs w:val="27"/>
          <w:lang w:val="en-US" w:eastAsia="zh-CN"/>
        </w:rPr>
        <w:t>8.23万元</w:t>
      </w:r>
      <w:r>
        <w:rPr>
          <w:rFonts w:ascii="仿宋_GB2312" w:hAnsi="仿宋_GB2312" w:eastAsia="仿宋_GB2312" w:cs="仿宋_GB2312"/>
          <w:color w:val="000000"/>
          <w:kern w:val="0"/>
          <w:sz w:val="27"/>
          <w:szCs w:val="27"/>
        </w:rPr>
        <w:t>。</w:t>
      </w:r>
    </w:p>
    <w:p w14:paraId="0D1B3F4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10F4FE3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rPr>
        <w:t>万元，其中：</w:t>
      </w:r>
    </w:p>
    <w:p w14:paraId="1130E07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b/>
          <w:bCs/>
          <w:color w:val="000000"/>
          <w:kern w:val="0"/>
          <w:sz w:val="27"/>
          <w:szCs w:val="27"/>
          <w:u w:val="none" w:color="auto"/>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4BC5056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none" w:color="auto"/>
        </w:rPr>
        <w:t>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2F7775E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none" w:color="auto"/>
        </w:rPr>
        <w:t>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14:paraId="2F0C3E7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5E07584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7E2AB13F">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w:t>
      </w:r>
      <w:r>
        <w:rPr>
          <w:rFonts w:ascii="仿宋_GB2312" w:hAnsi="仿宋_GB2312" w:eastAsia="仿宋_GB2312" w:cs="仿宋_GB2312"/>
          <w:kern w:val="0"/>
          <w:sz w:val="27"/>
          <w:szCs w:val="27"/>
          <w:u w:val="none" w:color="auto"/>
        </w:rPr>
        <w:t xml:space="preserve"> </w:t>
      </w:r>
      <w:r>
        <w:rPr>
          <w:rFonts w:ascii="仿宋_GB2312" w:hAnsi="仿宋_GB2312" w:eastAsia="仿宋_GB2312" w:cs="仿宋_GB2312"/>
          <w:color w:val="000000"/>
          <w:kern w:val="0"/>
          <w:sz w:val="27"/>
          <w:szCs w:val="27"/>
          <w:u w:val="none" w:color="auto"/>
        </w:rPr>
        <w:t>赤峰市松山区第十七幼儿园 </w:t>
      </w:r>
      <w:r>
        <w:rPr>
          <w:rFonts w:ascii="times_new_roman" w:hAnsi="times_new_roman" w:eastAsia="times_new_roman" w:cs="times_new_roman"/>
          <w:color w:val="000000"/>
          <w:kern w:val="0"/>
          <w:sz w:val="27"/>
          <w:szCs w:val="27"/>
          <w:u w:val="none" w:color="auto"/>
        </w:rPr>
        <w:t>2024</w:t>
      </w:r>
      <w:r>
        <w:rPr>
          <w:rFonts w:ascii="仿宋_GB2312" w:hAnsi="仿宋_GB2312" w:eastAsia="仿宋_GB2312" w:cs="仿宋_GB2312"/>
          <w:color w:val="000000"/>
          <w:kern w:val="0"/>
          <w:sz w:val="27"/>
          <w:szCs w:val="27"/>
          <w:u w:val="none" w:color="auto"/>
        </w:rPr>
        <w:t>年度财政拨款“三公”经费全年预算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%。其中：因公出国（境）费全年预算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%；公务用车购置及运行维护费全年预算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%；公务接待费全年预算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%。2024年度一般公共预算财政拨款“三公”经费全年预算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万元，与预算差异原因</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lang w:val="en-US" w:eastAsia="zh-CN"/>
        </w:rPr>
        <w:t>本年我单位无三公经费支出</w:t>
      </w:r>
      <w:r>
        <w:rPr>
          <w:rFonts w:ascii="仿宋_GB2312" w:hAnsi="仿宋_GB2312" w:eastAsia="仿宋_GB2312" w:cs="仿宋_GB2312"/>
          <w:color w:val="000000"/>
          <w:kern w:val="0"/>
          <w:sz w:val="27"/>
          <w:szCs w:val="27"/>
          <w:u w:val="none" w:color="auto"/>
        </w:rPr>
        <w:t>。</w:t>
      </w:r>
    </w:p>
    <w:p w14:paraId="10F8CF2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160552D0">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u w:val="none" w:color="auto"/>
        </w:rPr>
        <w:t>赤峰市松山区第十七幼儿园 </w:t>
      </w:r>
      <w:r>
        <w:rPr>
          <w:rFonts w:ascii="times_new_roman" w:hAnsi="times_new_roman" w:eastAsia="times_new_roman" w:cs="times_new_roman"/>
          <w:color w:val="000000"/>
          <w:kern w:val="0"/>
          <w:sz w:val="27"/>
          <w:szCs w:val="27"/>
          <w:u w:val="none" w:color="auto"/>
        </w:rPr>
        <w:t>2024</w:t>
      </w:r>
      <w:r>
        <w:rPr>
          <w:rFonts w:ascii="仿宋_GB2312" w:hAnsi="仿宋_GB2312" w:eastAsia="仿宋_GB2312" w:cs="仿宋_GB2312"/>
          <w:color w:val="000000"/>
          <w:kern w:val="0"/>
          <w:sz w:val="27"/>
          <w:szCs w:val="27"/>
          <w:u w:val="none" w:color="auto"/>
        </w:rPr>
        <w:t>年度财政拨款“三公”经费支出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万元。因公出国（境）费支出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%；公务用车购置及运行维护费支出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%；公务接待费支出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%。其中：</w:t>
      </w:r>
    </w:p>
    <w:p w14:paraId="00B72ACC">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u w:val="none" w:color="auto"/>
        </w:rPr>
        <w:t>    </w:t>
      </w:r>
      <w:r>
        <w:rPr>
          <w:rFonts w:ascii="times_new_roman" w:hAnsi="times_new_roman" w:eastAsia="times_new_roman" w:cs="times_new_roman"/>
          <w:color w:val="000000"/>
          <w:kern w:val="0"/>
          <w:sz w:val="27"/>
          <w:szCs w:val="27"/>
          <w:u w:val="none" w:color="auto"/>
        </w:rPr>
        <w:t>1.</w:t>
      </w:r>
      <w:r>
        <w:rPr>
          <w:rFonts w:ascii="仿宋_GB2312" w:hAnsi="仿宋_GB2312" w:eastAsia="仿宋_GB2312" w:cs="仿宋_GB2312"/>
          <w:color w:val="000000"/>
          <w:kern w:val="0"/>
          <w:sz w:val="27"/>
          <w:szCs w:val="27"/>
          <w:u w:val="none" w:color="auto"/>
        </w:rPr>
        <w:t>因公出国（境）费支出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万元，全年出国（境）团组</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个，累计</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人次。与上年决算相比，增加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val="en-US" w:eastAsia="zh-CN"/>
        </w:rPr>
        <w:t>本年我单位无因公出国支出</w:t>
      </w:r>
      <w:r>
        <w:rPr>
          <w:rFonts w:ascii="仿宋_GB2312" w:hAnsi="仿宋_GB2312" w:eastAsia="仿宋_GB2312" w:cs="仿宋_GB2312"/>
          <w:color w:val="000000"/>
          <w:kern w:val="0"/>
          <w:sz w:val="27"/>
          <w:szCs w:val="27"/>
          <w:u w:val="none" w:color="auto"/>
        </w:rPr>
        <w:t>。</w:t>
      </w:r>
    </w:p>
    <w:p w14:paraId="2F056498">
      <w:pPr>
        <w:widowControl/>
        <w:spacing w:before="240" w:after="240"/>
        <w:rPr>
          <w:rFonts w:ascii="Times New Roman" w:hAnsi="Times New Roman" w:eastAsia="Times New Roman" w:cs="Times New Roman"/>
          <w:kern w:val="0"/>
          <w:sz w:val="24"/>
          <w:u w:val="none" w:color="auto"/>
        </w:rPr>
      </w:pPr>
      <w:r>
        <w:rPr>
          <w:rFonts w:ascii="times_new_roman" w:hAnsi="times_new_roman" w:eastAsia="times_new_roman" w:cs="times_new_roman"/>
          <w:color w:val="000000"/>
          <w:kern w:val="0"/>
          <w:sz w:val="27"/>
          <w:szCs w:val="27"/>
          <w:u w:val="none" w:color="auto"/>
        </w:rPr>
        <w:t>   2.</w:t>
      </w:r>
      <w:r>
        <w:rPr>
          <w:rFonts w:ascii="仿宋_GB2312" w:hAnsi="仿宋_GB2312" w:eastAsia="仿宋_GB2312" w:cs="仿宋_GB2312"/>
          <w:color w:val="000000"/>
          <w:kern w:val="0"/>
          <w:sz w:val="27"/>
          <w:szCs w:val="27"/>
          <w:u w:val="none" w:color="auto"/>
        </w:rPr>
        <w:t>公务用车购置及运行维护费支出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万元。其中：</w:t>
      </w:r>
    </w:p>
    <w:p w14:paraId="1762E318">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u w:val="none" w:color="auto"/>
        </w:rPr>
        <w:t>    （1）公务用车购置支出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万元。本年度使用财政拨款购置公务用车</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辆。与上年决算相比，增加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val="en-US" w:eastAsia="zh-CN"/>
        </w:rPr>
        <w:t>本年度我单位无公务用车购置</w:t>
      </w:r>
      <w:r>
        <w:rPr>
          <w:rFonts w:ascii="仿宋_GB2312" w:hAnsi="仿宋_GB2312" w:eastAsia="仿宋_GB2312" w:cs="仿宋_GB2312"/>
          <w:color w:val="000000"/>
          <w:kern w:val="0"/>
          <w:sz w:val="27"/>
          <w:szCs w:val="27"/>
          <w:u w:val="none" w:color="auto"/>
        </w:rPr>
        <w:t>。</w:t>
      </w:r>
    </w:p>
    <w:p w14:paraId="2A81EC22">
      <w:pPr>
        <w:widowControl/>
        <w:spacing w:before="240" w:after="240"/>
        <w:rPr>
          <w:rFonts w:ascii="仿宋_GB2312" w:hAnsi="仿宋_GB2312" w:eastAsia="仿宋_GB2312" w:cs="仿宋_GB2312"/>
          <w:color w:val="000000"/>
          <w:kern w:val="0"/>
          <w:sz w:val="27"/>
          <w:szCs w:val="27"/>
          <w:u w:val="none" w:color="auto"/>
        </w:rPr>
      </w:pPr>
      <w:r>
        <w:rPr>
          <w:rFonts w:ascii="仿宋_GB2312" w:hAnsi="仿宋_GB2312" w:eastAsia="仿宋_GB2312" w:cs="仿宋_GB2312"/>
          <w:color w:val="000000"/>
          <w:kern w:val="0"/>
          <w:sz w:val="27"/>
          <w:szCs w:val="27"/>
          <w:u w:val="none" w:color="auto"/>
        </w:rPr>
        <w:t>    （2）公务用车运行维护费支出</w:t>
      </w:r>
      <w:r>
        <w:rPr>
          <w:rFonts w:hint="eastAsia" w:ascii="仿宋_GB2312" w:hAnsi="仿宋_GB2312" w:eastAsia="仿宋_GB2312" w:cs="仿宋_GB2312"/>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u w:val="none" w:color="auto"/>
        </w:rPr>
        <w:t>2024</w:t>
      </w:r>
      <w:r>
        <w:rPr>
          <w:rFonts w:ascii="仿宋_GB2312" w:hAnsi="仿宋_GB2312" w:eastAsia="仿宋_GB2312" w:cs="仿宋_GB2312"/>
          <w:color w:val="000000"/>
          <w:kern w:val="0"/>
          <w:sz w:val="27"/>
          <w:szCs w:val="27"/>
          <w:u w:val="none" w:color="auto"/>
        </w:rPr>
        <w:t>年</w:t>
      </w:r>
      <w:r>
        <w:rPr>
          <w:rFonts w:ascii="times_new_roman" w:hAnsi="times_new_roman" w:eastAsia="times_new_roman" w:cs="times_new_roman"/>
          <w:color w:val="000000"/>
          <w:kern w:val="0"/>
          <w:sz w:val="27"/>
          <w:szCs w:val="27"/>
          <w:u w:val="none" w:color="auto"/>
        </w:rPr>
        <w:t>12</w:t>
      </w:r>
      <w:r>
        <w:rPr>
          <w:rFonts w:ascii="仿宋_GB2312" w:hAnsi="仿宋_GB2312" w:eastAsia="仿宋_GB2312" w:cs="仿宋_GB2312"/>
          <w:color w:val="000000"/>
          <w:kern w:val="0"/>
          <w:sz w:val="27"/>
          <w:szCs w:val="27"/>
          <w:u w:val="none" w:color="auto"/>
        </w:rPr>
        <w:t>月</w:t>
      </w:r>
      <w:r>
        <w:rPr>
          <w:rFonts w:ascii="times_new_roman" w:hAnsi="times_new_roman" w:eastAsia="times_new_roman" w:cs="times_new_roman"/>
          <w:color w:val="000000"/>
          <w:kern w:val="0"/>
          <w:sz w:val="27"/>
          <w:szCs w:val="27"/>
          <w:u w:val="none" w:color="auto"/>
        </w:rPr>
        <w:t>31</w:t>
      </w:r>
      <w:r>
        <w:rPr>
          <w:rFonts w:ascii="仿宋_GB2312" w:hAnsi="仿宋_GB2312" w:eastAsia="仿宋_GB2312" w:cs="仿宋_GB2312"/>
          <w:color w:val="000000"/>
          <w:kern w:val="0"/>
          <w:sz w:val="27"/>
          <w:szCs w:val="27"/>
          <w:u w:val="none" w:color="auto"/>
        </w:rPr>
        <w:t>日，使用财政拨款开支的公务用车保有量</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val="en-US" w:eastAsia="zh-CN"/>
        </w:rPr>
        <w:t>本年度我单位无公务用车运行维护费支出</w:t>
      </w:r>
      <w:r>
        <w:rPr>
          <w:rFonts w:ascii="仿宋_GB2312" w:hAnsi="仿宋_GB2312" w:eastAsia="仿宋_GB2312" w:cs="仿宋_GB2312"/>
          <w:color w:val="000000"/>
          <w:kern w:val="0"/>
          <w:sz w:val="27"/>
          <w:szCs w:val="27"/>
          <w:u w:val="none" w:color="auto"/>
        </w:rPr>
        <w:t>。</w:t>
      </w:r>
    </w:p>
    <w:p w14:paraId="25B99DBD">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u w:val="none" w:color="auto"/>
        </w:rPr>
        <w:t>    3.公务接待费支出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万元。其中：国内公务接待支出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万元，接待</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批次，</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人次；国（境）外公务接待支出</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万元，接待</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批次，</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人次。与上年决算相比，增加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val="en-US" w:eastAsia="zh-CN"/>
        </w:rPr>
        <w:t>本年度我单位无公务接待费支出</w:t>
      </w:r>
      <w:r>
        <w:rPr>
          <w:rFonts w:ascii="仿宋_GB2312" w:hAnsi="仿宋_GB2312" w:eastAsia="仿宋_GB2312" w:cs="仿宋_GB2312"/>
          <w:color w:val="000000"/>
          <w:kern w:val="0"/>
          <w:sz w:val="27"/>
          <w:szCs w:val="27"/>
          <w:u w:val="none" w:color="auto"/>
        </w:rPr>
        <w:t>。</w:t>
      </w:r>
    </w:p>
    <w:p w14:paraId="4625E13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5BF4C816">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万元。与上年决算相比，减少</w:t>
      </w:r>
      <w:r>
        <w:rPr>
          <w:rFonts w:eastAsia="Times New Roman"/>
          <w:color w:val="000000"/>
          <w:kern w:val="0"/>
          <w:sz w:val="27"/>
          <w:szCs w:val="27"/>
          <w:u w:val="none" w:color="auto"/>
        </w:rPr>
        <w:t>175.72</w:t>
      </w:r>
      <w:r>
        <w:rPr>
          <w:rFonts w:ascii="仿宋_GB2312" w:hAnsi="仿宋_GB2312" w:eastAsia="仿宋_GB2312" w:cs="仿宋_GB2312"/>
          <w:color w:val="000000"/>
          <w:kern w:val="0"/>
          <w:sz w:val="27"/>
          <w:szCs w:val="27"/>
          <w:u w:val="none" w:color="auto"/>
        </w:rPr>
        <w:t>万元，下降</w:t>
      </w:r>
      <w:r>
        <w:rPr>
          <w:rFonts w:eastAsia="Times New Roman"/>
          <w:color w:val="000000"/>
          <w:kern w:val="0"/>
          <w:sz w:val="27"/>
          <w:szCs w:val="27"/>
          <w:u w:val="none" w:color="auto"/>
        </w:rPr>
        <w:t>100.00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2023年政府性基金预算财政拨款支出主要为债务化解款项，主要用于房屋建筑物构建和办公设备购置，</w:t>
      </w:r>
      <w:r>
        <w:rPr>
          <w:rFonts w:ascii="仿宋_GB2312" w:hAnsi="仿宋_GB2312" w:eastAsia="仿宋_GB2312" w:cs="仿宋_GB2312"/>
          <w:color w:val="000000"/>
          <w:kern w:val="0"/>
          <w:sz w:val="27"/>
          <w:szCs w:val="27"/>
        </w:rPr>
        <w:t>本年无政府性基金预算财政拨款收、支、余。</w:t>
      </w:r>
    </w:p>
    <w:p w14:paraId="7E33EBCE">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6F282819">
      <w:pPr>
        <w:widowControl/>
        <w:spacing w:before="240" w:after="240"/>
        <w:ind w:firstLine="540" w:firstLineChars="20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本年无国有资本经营预算财政拨款收、支、余</w:t>
      </w:r>
      <w:r>
        <w:rPr>
          <w:rFonts w:ascii="仿宋_GB2312" w:hAnsi="仿宋_GB2312" w:eastAsia="仿宋_GB2312" w:cs="仿宋_GB2312"/>
          <w:color w:val="000000"/>
          <w:kern w:val="0"/>
          <w:sz w:val="27"/>
          <w:szCs w:val="27"/>
        </w:rPr>
        <w:t>。</w:t>
      </w:r>
    </w:p>
    <w:p w14:paraId="30F9B853">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194C094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赤峰市松山区第十七幼儿园2024年度公用经费支出决算</w:t>
      </w:r>
      <w:r>
        <w:rPr>
          <w:rFonts w:eastAsia="Times New Roman"/>
          <w:color w:val="000000"/>
          <w:kern w:val="0"/>
          <w:sz w:val="27"/>
          <w:szCs w:val="27"/>
          <w:u w:val="none" w:color="auto"/>
        </w:rPr>
        <w:t>28.24</w:t>
      </w:r>
      <w:r>
        <w:rPr>
          <w:rFonts w:ascii="仿宋_GB2312" w:hAnsi="仿宋_GB2312" w:eastAsia="仿宋_GB2312" w:cs="仿宋_GB2312"/>
          <w:color w:val="000000"/>
          <w:kern w:val="0"/>
          <w:sz w:val="27"/>
          <w:szCs w:val="27"/>
          <w:u w:val="none" w:color="auto"/>
        </w:rPr>
        <w:t>万元，与上年决算相比，减少</w:t>
      </w:r>
      <w:r>
        <w:rPr>
          <w:rFonts w:hint="eastAsia"/>
          <w:color w:val="000000"/>
          <w:kern w:val="0"/>
          <w:sz w:val="27"/>
          <w:szCs w:val="27"/>
          <w:u w:val="none" w:color="auto"/>
          <w:lang w:val="en-US" w:eastAsia="zh-CN"/>
        </w:rPr>
        <w:t>53.71</w:t>
      </w:r>
      <w:r>
        <w:rPr>
          <w:rFonts w:ascii="仿宋_GB2312" w:hAnsi="仿宋_GB2312" w:eastAsia="仿宋_GB2312" w:cs="仿宋_GB2312"/>
          <w:color w:val="000000"/>
          <w:kern w:val="0"/>
          <w:sz w:val="27"/>
          <w:szCs w:val="27"/>
          <w:u w:val="none" w:color="auto"/>
        </w:rPr>
        <w:t>万元，下降</w:t>
      </w:r>
      <w:r>
        <w:rPr>
          <w:rFonts w:hint="eastAsia"/>
          <w:color w:val="000000"/>
          <w:kern w:val="0"/>
          <w:sz w:val="27"/>
          <w:szCs w:val="27"/>
          <w:u w:val="none" w:color="auto"/>
          <w:lang w:val="en-US" w:eastAsia="zh-CN"/>
        </w:rPr>
        <w:t>65.4</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2024年未支付取暖费、物业费只支付少部分、2023年有专项债券收入安排的支出主要用于房屋建筑物构建和办公设备购置</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我单位类型为公益二类单位，无机关运行经费支出。</w:t>
      </w:r>
    </w:p>
    <w:p w14:paraId="3D4F1C4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533BB610">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u w:val="none" w:color="auto"/>
        </w:rPr>
        <w:t>赤峰市松山区第十七幼儿园 </w:t>
      </w:r>
      <w:r>
        <w:rPr>
          <w:rFonts w:ascii="times_new_roman" w:hAnsi="times_new_roman" w:eastAsia="times_new_roman" w:cs="times_new_roman"/>
          <w:color w:val="000000"/>
          <w:kern w:val="0"/>
          <w:sz w:val="27"/>
          <w:szCs w:val="27"/>
          <w:u w:val="none" w:color="auto"/>
        </w:rPr>
        <w:t>2024</w:t>
      </w:r>
      <w:r>
        <w:rPr>
          <w:rFonts w:ascii="仿宋_GB2312" w:hAnsi="仿宋_GB2312" w:eastAsia="仿宋_GB2312" w:cs="仿宋_GB2312"/>
          <w:color w:val="000000"/>
          <w:kern w:val="0"/>
          <w:sz w:val="27"/>
          <w:szCs w:val="27"/>
          <w:u w:val="none" w:color="auto"/>
        </w:rPr>
        <w:t>年度政府采购支出总额</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万元，其中：政府采购货物支出</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万元、政府采购工程支出</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万元、政府采购服务支</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万元。政府采购授予中小企业合同金</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万元，占政府采购支出总额的</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%，其中：授予小微企业合同金额</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万元，占政府采购支出总额的</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%；货物采购授予中小企业合同金额占货物支出金额的</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%，工程采购授予中小企业合同金额占工程支出金额的</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%，服务采购授予中小企业合同金额占服务支出金额的</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w:t>
      </w:r>
    </w:p>
    <w:p w14:paraId="288F4F5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2C55CCD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ascii="仿宋_GB2312" w:hAnsi="仿宋_GB2312" w:eastAsia="仿宋_GB2312" w:cs="仿宋_GB2312"/>
          <w:color w:val="000000"/>
          <w:kern w:val="0"/>
          <w:sz w:val="27"/>
          <w:szCs w:val="27"/>
          <w:u w:val="none" w:color="auto"/>
        </w:rPr>
        <w:t>赤峰市松山区第十七幼儿园 截至</w:t>
      </w:r>
      <w:r>
        <w:rPr>
          <w:rFonts w:ascii="times_new_roman" w:hAnsi="times_new_roman" w:eastAsia="times_new_roman" w:cs="times_new_roman"/>
          <w:color w:val="000000"/>
          <w:kern w:val="0"/>
          <w:sz w:val="27"/>
          <w:szCs w:val="27"/>
          <w:u w:val="none" w:color="auto"/>
        </w:rPr>
        <w:t>2024</w:t>
      </w:r>
      <w:r>
        <w:rPr>
          <w:rFonts w:ascii="仿宋_GB2312" w:hAnsi="仿宋_GB2312" w:eastAsia="仿宋_GB2312" w:cs="仿宋_GB2312"/>
          <w:color w:val="000000"/>
          <w:kern w:val="0"/>
          <w:sz w:val="27"/>
          <w:szCs w:val="27"/>
          <w:u w:val="none" w:color="auto"/>
        </w:rPr>
        <w:t>年</w:t>
      </w:r>
      <w:r>
        <w:rPr>
          <w:rFonts w:ascii="times_new_roman" w:hAnsi="times_new_roman" w:eastAsia="times_new_roman" w:cs="times_new_roman"/>
          <w:color w:val="000000"/>
          <w:kern w:val="0"/>
          <w:sz w:val="27"/>
          <w:szCs w:val="27"/>
          <w:u w:val="none" w:color="auto"/>
        </w:rPr>
        <w:t>12</w:t>
      </w:r>
      <w:r>
        <w:rPr>
          <w:rFonts w:ascii="仿宋_GB2312" w:hAnsi="仿宋_GB2312" w:eastAsia="仿宋_GB2312" w:cs="仿宋_GB2312"/>
          <w:color w:val="000000"/>
          <w:kern w:val="0"/>
          <w:sz w:val="27"/>
          <w:szCs w:val="27"/>
          <w:u w:val="none" w:color="auto"/>
        </w:rPr>
        <w:t>月</w:t>
      </w:r>
      <w:r>
        <w:rPr>
          <w:rFonts w:ascii="times_new_roman" w:hAnsi="times_new_roman" w:eastAsia="times_new_roman" w:cs="times_new_roman"/>
          <w:color w:val="000000"/>
          <w:kern w:val="0"/>
          <w:sz w:val="27"/>
          <w:szCs w:val="27"/>
          <w:u w:val="none" w:color="auto"/>
        </w:rPr>
        <w:t>31</w:t>
      </w:r>
      <w:r>
        <w:rPr>
          <w:rFonts w:ascii="仿宋_GB2312" w:hAnsi="仿宋_GB2312" w:eastAsia="仿宋_GB2312" w:cs="仿宋_GB2312"/>
          <w:color w:val="000000"/>
          <w:kern w:val="0"/>
          <w:sz w:val="27"/>
          <w:szCs w:val="27"/>
          <w:u w:val="none" w:color="auto"/>
        </w:rPr>
        <w:t>日，本部门（单位）共有车辆</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辆，其中：副部（省）级及以上领导用</w:t>
      </w:r>
      <w:r>
        <w:rPr>
          <w:rFonts w:ascii="times_new_roman" w:hAnsi="times_new_roman" w:eastAsia="times_new_roman" w:cs="times_new_roman"/>
          <w:color w:val="000000"/>
          <w:kern w:val="0"/>
          <w:sz w:val="27"/>
          <w:szCs w:val="27"/>
          <w:u w:val="none" w:color="auto"/>
        </w:rPr>
        <w:t>0 </w:t>
      </w:r>
      <w:r>
        <w:rPr>
          <w:rFonts w:ascii="仿宋_GB2312" w:hAnsi="仿宋_GB2312" w:eastAsia="仿宋_GB2312" w:cs="仿宋_GB2312"/>
          <w:color w:val="000000"/>
          <w:kern w:val="0"/>
          <w:sz w:val="27"/>
          <w:szCs w:val="27"/>
          <w:u w:val="none" w:color="auto"/>
        </w:rPr>
        <w:t>辆、主要负责人用车</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辆、机要通信用车</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辆、应急保障用车</w:t>
      </w:r>
      <w:r>
        <w:rPr>
          <w:rFonts w:ascii="times_new_roman" w:hAnsi="times_new_roman" w:eastAsia="times_new_roman" w:cs="times_new_roman"/>
          <w:color w:val="000000"/>
          <w:kern w:val="0"/>
          <w:sz w:val="27"/>
          <w:szCs w:val="27"/>
          <w:u w:val="none" w:color="auto"/>
        </w:rPr>
        <w:t> 0</w:t>
      </w:r>
      <w:r>
        <w:rPr>
          <w:rFonts w:ascii="仿宋_GB2312" w:hAnsi="仿宋_GB2312" w:eastAsia="仿宋_GB2312" w:cs="仿宋_GB2312"/>
          <w:color w:val="000000"/>
          <w:kern w:val="0"/>
          <w:sz w:val="27"/>
          <w:szCs w:val="27"/>
          <w:u w:val="none" w:color="auto"/>
        </w:rPr>
        <w:t>辆、执法执勤用车</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辆、特种专业技术用车</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辆、离退休干部服务用车</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辆，其他用车</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辆；单价100万元（含）以上的设备（不含车辆）</w:t>
      </w:r>
      <w:r>
        <w:rPr>
          <w:rFonts w:ascii="times_new_roman" w:hAnsi="times_new_roman" w:eastAsia="times_new_roman" w:cs="times_new_roman"/>
          <w:color w:val="000000"/>
          <w:kern w:val="0"/>
          <w:sz w:val="27"/>
          <w:szCs w:val="27"/>
          <w:u w:val="none" w:color="auto"/>
        </w:rPr>
        <w:t>0</w:t>
      </w:r>
      <w:r>
        <w:rPr>
          <w:rFonts w:ascii="仿宋_GB2312" w:hAnsi="仿宋_GB2312" w:eastAsia="仿宋_GB2312" w:cs="仿宋_GB2312"/>
          <w:color w:val="000000"/>
          <w:kern w:val="0"/>
          <w:sz w:val="27"/>
          <w:szCs w:val="27"/>
          <w:u w:val="none" w:color="auto"/>
        </w:rPr>
        <w:t>台（套）。</w:t>
      </w:r>
    </w:p>
    <w:p w14:paraId="6C296A5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7A2DE9D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48849D45">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赤峰市松山区第十七幼儿园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个，二级项目</w:t>
      </w:r>
      <w:r>
        <w:rPr>
          <w:rFonts w:hint="eastAsia" w:ascii="times_new_roman" w:hAnsi="times_new_roman" w:eastAsia="宋体"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个，共涉及资金</w:t>
      </w:r>
      <w:r>
        <w:rPr>
          <w:rFonts w:hint="eastAsia" w:ascii="times_new_roman" w:hAnsi="times_new_roman" w:eastAsia="宋体"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万元，占一般公共预算项目支出总额的</w:t>
      </w:r>
      <w:r>
        <w:rPr>
          <w:rFonts w:ascii="times_new_roman" w:hAnsi="times_new_roman" w:eastAsia="times_new_roman" w:cs="times_new_roman"/>
          <w:color w:val="000000"/>
          <w:kern w:val="0"/>
          <w:sz w:val="27"/>
          <w:szCs w:val="27"/>
          <w:u w:val="none" w:color="auto"/>
        </w:rPr>
        <w:t>100</w:t>
      </w:r>
      <w:r>
        <w:rPr>
          <w:rFonts w:ascii="仿宋_GB2312" w:hAnsi="仿宋_GB2312" w:eastAsia="仿宋_GB2312" w:cs="仿宋_GB2312"/>
          <w:color w:val="000000"/>
          <w:kern w:val="0"/>
          <w:sz w:val="27"/>
          <w:szCs w:val="27"/>
          <w:u w:val="none" w:color="auto"/>
        </w:rPr>
        <w:t>%；政府性基金预算项目</w:t>
      </w:r>
      <w:r>
        <w:rPr>
          <w:rFonts w:hint="eastAsia" w:ascii="times_new_roman" w:hAnsi="times_new_roman" w:eastAsia="宋体"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个，其中，一级项目</w:t>
      </w:r>
      <w:r>
        <w:rPr>
          <w:rFonts w:hint="eastAsia" w:ascii="times_new_roman" w:hAnsi="times_new_roman" w:eastAsia="宋体"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个，二级项目</w:t>
      </w:r>
      <w:r>
        <w:rPr>
          <w:rFonts w:hint="eastAsia" w:ascii="times_new_roman" w:hAnsi="times_new_roman" w:eastAsia="宋体"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，共涉及资金</w:t>
      </w:r>
      <w:r>
        <w:rPr>
          <w:rFonts w:hint="eastAsia" w:ascii="times_new_roman" w:hAnsi="times_new_roman" w:eastAsia="宋体" w:cs="times_new_roman"/>
          <w:color w:val="000000"/>
          <w:kern w:val="0"/>
          <w:sz w:val="27"/>
          <w:szCs w:val="27"/>
          <w:u w:val="none" w:color="auto"/>
          <w:lang w:val="en-US" w:eastAsia="zh-CN"/>
        </w:rPr>
        <w:t>0</w:t>
      </w:r>
      <w:r>
        <w:rPr>
          <w:rFonts w:ascii="仿宋_GB2312" w:hAnsi="仿宋_GB2312" w:eastAsia="仿宋_GB2312" w:cs="仿宋_GB2312"/>
          <w:color w:val="000000"/>
          <w:kern w:val="0"/>
          <w:sz w:val="27"/>
          <w:szCs w:val="27"/>
          <w:u w:val="none" w:color="auto"/>
        </w:rPr>
        <w:t>万元，占应纳入绩效自评的政府性基金预算项目支出总额的</w:t>
      </w:r>
      <w:r>
        <w:rPr>
          <w:rFonts w:ascii="times_new_roman" w:hAnsi="times_new_roman" w:eastAsia="times_new_roman" w:cs="times_new_roman"/>
          <w:color w:val="000000"/>
          <w:kern w:val="0"/>
          <w:sz w:val="27"/>
          <w:szCs w:val="27"/>
          <w:u w:val="none" w:color="auto"/>
        </w:rPr>
        <w:t>100%</w:t>
      </w:r>
      <w:r>
        <w:rPr>
          <w:rFonts w:ascii="仿宋_GB2312" w:hAnsi="仿宋_GB2312" w:eastAsia="仿宋_GB2312" w:cs="仿宋_GB2312"/>
          <w:color w:val="000000"/>
          <w:kern w:val="0"/>
          <w:sz w:val="27"/>
          <w:szCs w:val="27"/>
          <w:u w:val="none" w:color="auto"/>
        </w:rPr>
        <w:t>。</w:t>
      </w:r>
    </w:p>
    <w:p w14:paraId="169B90D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14:paraId="40C3ED3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赤峰市松山区第</w:t>
      </w:r>
      <w:r>
        <w:rPr>
          <w:rFonts w:hint="eastAsia" w:ascii="仿宋_GB2312" w:hAnsi="仿宋_GB2312" w:eastAsia="仿宋_GB2312" w:cs="仿宋_GB2312"/>
          <w:color w:val="000000"/>
          <w:kern w:val="0"/>
          <w:sz w:val="27"/>
          <w:szCs w:val="27"/>
          <w:lang w:val="en-US" w:eastAsia="zh-CN"/>
        </w:rPr>
        <w:t>十七</w:t>
      </w:r>
      <w:r>
        <w:rPr>
          <w:rFonts w:hint="eastAsia" w:ascii="仿宋_GB2312" w:hAnsi="仿宋_GB2312" w:eastAsia="仿宋_GB2312" w:cs="仿宋_GB2312"/>
          <w:color w:val="000000"/>
          <w:kern w:val="0"/>
          <w:sz w:val="27"/>
          <w:szCs w:val="27"/>
        </w:rPr>
        <w:t>幼儿园 2024 年度在决算中反映 0 个一般公共预算项目，以及 0 个政府性基金项目，共 0 个项目的绩效自评结果。</w:t>
      </w:r>
    </w:p>
    <w:p w14:paraId="3157890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4E0123E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赤峰市松山区第十七幼儿园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w:t>
      </w:r>
      <w:r>
        <w:rPr>
          <w:rFonts w:hint="eastAsia" w:ascii="仿宋_GB2312" w:hAnsi="仿宋_GB2312" w:eastAsia="仿宋_GB2312" w:cs="仿宋_GB2312"/>
          <w:color w:val="000000"/>
          <w:kern w:val="0"/>
          <w:sz w:val="27"/>
          <w:szCs w:val="27"/>
          <w:lang w:val="en-US" w:eastAsia="zh-CN"/>
        </w:rPr>
        <w:t>均为基本支出未安排</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val="en-US" w:eastAsia="zh-CN"/>
        </w:rPr>
        <w:t>支出</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所以无重点项</w:t>
      </w:r>
      <w:r>
        <w:rPr>
          <w:rFonts w:ascii="仿宋_GB2312" w:hAnsi="仿宋_GB2312" w:eastAsia="仿宋_GB2312" w:cs="仿宋_GB2312"/>
          <w:color w:val="000000"/>
          <w:kern w:val="0"/>
          <w:sz w:val="27"/>
          <w:szCs w:val="27"/>
        </w:rPr>
        <w:t>目的绩效自评结果。</w:t>
      </w:r>
    </w:p>
    <w:p w14:paraId="2564691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仿宋_GB2312" w:hAnsi="仿宋_GB2312" w:eastAsia="仿宋_GB2312" w:cs="仿宋_GB2312"/>
          <w:color w:val="0E00FE"/>
          <w:kern w:val="0"/>
          <w:sz w:val="27"/>
          <w:szCs w:val="27"/>
        </w:rPr>
        <w:t>   </w:t>
      </w:r>
      <w:r>
        <w:rPr>
          <w:rFonts w:ascii="fang_zheng_xiao_biao_song_ti" w:hAnsi="fang_zheng_xiao_biao_song_ti" w:eastAsia="fang_zheng_xiao_biao_song_ti" w:cs="fang_zheng_xiao_biao_song_ti"/>
          <w:kern w:val="0"/>
          <w:sz w:val="36"/>
          <w:szCs w:val="36"/>
        </w:rPr>
        <w:t>第三部分 名词解释</w:t>
      </w:r>
    </w:p>
    <w:p w14:paraId="137DB7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1B7BAAE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186F78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47DCF86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1076BBB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1E0AA9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6117B1B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4A77791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28F8E50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D2772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736BC78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1B3F685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160C98C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4FA81E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5D2D7D4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7F19769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0905B2F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F2B235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502ACD0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49079FD9">
      <w:pPr>
        <w:widowControl/>
        <w:spacing w:before="240" w:after="240"/>
        <w:jc w:val="left"/>
        <w:rPr>
          <w:rFonts w:ascii="Times New Roman" w:hAnsi="Times New Roman" w:eastAsia="Times New Roman" w:cs="Times New Roman"/>
          <w:kern w:val="0"/>
          <w:sz w:val="24"/>
        </w:rPr>
      </w:pPr>
    </w:p>
    <w:p w14:paraId="2A72F17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08F41F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尹秀敏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0476-5676017</w:t>
      </w:r>
    </w:p>
    <w:p w14:paraId="7BC33962">
      <w:pPr>
        <w:widowControl/>
        <w:spacing w:before="240" w:after="240"/>
        <w:jc w:val="left"/>
        <w:rPr>
          <w:rFonts w:ascii="Times New Roman" w:hAnsi="Times New Roman" w:eastAsia="Times New Roman" w:cs="Times New Roman"/>
          <w:kern w:val="0"/>
          <w:sz w:val="24"/>
        </w:rPr>
      </w:pPr>
    </w:p>
    <w:p w14:paraId="74D11708">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082FFE16">
      <w:pPr>
        <w:widowControl/>
        <w:spacing w:before="240" w:after="240"/>
        <w:jc w:val="center"/>
        <w:rPr>
          <w:rFonts w:ascii="Times New Roman" w:hAnsi="Times New Roman" w:eastAsia="Times New Roman" w:cs="Times New Roman"/>
          <w:kern w:val="0"/>
          <w:sz w:val="24"/>
        </w:rPr>
      </w:pPr>
    </w:p>
    <w:p w14:paraId="5EDC0C0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1DB235ED">
      <w:pPr>
        <w:widowControl/>
        <w:spacing w:before="240" w:after="240"/>
        <w:jc w:val="left"/>
        <w:rPr>
          <w:rFonts w:ascii="Times New Roman" w:hAnsi="Times New Roman" w:eastAsia="Times New Roman" w:cs="Times New Roman"/>
          <w:kern w:val="0"/>
          <w:sz w:val="24"/>
        </w:rPr>
      </w:pPr>
    </w:p>
    <w:p w14:paraId="6C1A868D">
      <w:pPr>
        <w:widowControl/>
        <w:spacing w:before="240" w:after="240"/>
        <w:jc w:val="left"/>
        <w:rPr>
          <w:rFonts w:ascii="Times New Roman" w:hAnsi="Times New Roman" w:eastAsia="Times New Roman" w:cs="Times New Roman"/>
          <w:kern w:val="0"/>
          <w:sz w:val="24"/>
        </w:rPr>
      </w:pPr>
    </w:p>
    <w:p w14:paraId="413D0452">
      <w:pPr>
        <w:widowControl/>
        <w:spacing w:before="240" w:after="240"/>
        <w:jc w:val="left"/>
        <w:rPr>
          <w:rFonts w:ascii="Times New Roman" w:hAnsi="Times New Roman" w:eastAsia="Times New Roman" w:cs="Times New Roman"/>
          <w:kern w:val="0"/>
          <w:sz w:val="24"/>
        </w:rPr>
      </w:pPr>
    </w:p>
    <w:p w14:paraId="77F38D68">
      <w:pPr>
        <w:widowControl/>
        <w:spacing w:before="240" w:after="240"/>
        <w:jc w:val="left"/>
        <w:rPr>
          <w:rFonts w:ascii="Times New Roman" w:hAnsi="Times New Roman" w:eastAsia="Times New Roman" w:cs="Times New Roman"/>
          <w:kern w:val="0"/>
          <w:sz w:val="24"/>
        </w:rPr>
      </w:pPr>
    </w:p>
    <w:bookmarkEnd w:id="0"/>
    <w:p w14:paraId="5E6CACBE">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D834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1E605592"/>
    <w:rsid w:val="225E44DE"/>
    <w:rsid w:val="28013942"/>
    <w:rsid w:val="28C332ED"/>
    <w:rsid w:val="2B944ACD"/>
    <w:rsid w:val="2DF47AA5"/>
    <w:rsid w:val="320C7AB3"/>
    <w:rsid w:val="331309CD"/>
    <w:rsid w:val="483D0698"/>
    <w:rsid w:val="51CD438B"/>
    <w:rsid w:val="5A785660"/>
    <w:rsid w:val="5C0B2425"/>
    <w:rsid w:val="5C116756"/>
    <w:rsid w:val="668B029F"/>
    <w:rsid w:val="78FD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1091</Words>
  <Characters>1103</Characters>
  <Lines>1</Lines>
  <Paragraphs>1</Paragraphs>
  <TotalTime>15</TotalTime>
  <ScaleCrop>false</ScaleCrop>
  <LinksUpToDate>false</LinksUpToDate>
  <CharactersWithSpaces>1134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尹秀敏</cp:lastModifiedBy>
  <cp:lastPrinted>2021-04-16T00:45:00Z</cp:lastPrinted>
  <dcterms:modified xsi:type="dcterms:W3CDTF">2025-09-26T00:48:47Z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eyJoZGlkIjoiN2RiZjgyYjE1M2Q0OGMyZjA2MDM4YTk2MzM4YWM3ZGMiLCJ1c2VySWQiOiI1MTI4MTYwODEifQ==</vt:lpwstr>
  </property>
</Properties>
</file>