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年度赤峰市松山区第十六小学</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1：在“内蒙古自治区财政预决算公开平台”公开时，每个公开位置要精准上传指定报表，切忌重复公开多个决算公开表；没有数据的报表也要上传空表，并在报表合计数处填“0”，同时在报表下方说明空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特别强调2：公开报表缩放比例要适当，最好保持在80%-100%。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3：部门（单位）是决算公开的主体，部门（单位）对公开信息的真实性、准确性和完整性负责，并做好决算公开后的说明解释工作。依法确定为国家秘密的信息不予公开；涉密信息经法定程序解密并删除涉密内容后，予以公开。</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4：决算公开报告模板中蓝色字体是提示性语句，需根据提示性语句进行补充完善，正式公开时需删除。要将模板提取的数据与决算报送终稿数据进行比对。模板中关于增加（减少）、增长（下降）的表述，如果对应提取数据为正数时，删除“（减少）”、“（下降）”；如果对应提取数据为负数时，删除“增加”或“增长”、“-”、以及减少两边的括号。</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pStyle w:val="28"/>
        <w:widowControl/>
        <w:spacing w:before="240" w:after="240" w:line="600" w:lineRule="atLeast"/>
        <w:ind w:firstLine="640"/>
        <w:rPr>
          <w:rFonts w:hint="eastAsia" w:ascii="Times New Roman" w:hAnsi="Times New Roman" w:eastAsia="仿宋_GB2312" w:cs="Times New Roman"/>
          <w:kern w:val="0"/>
          <w:sz w:val="24"/>
          <w:lang w:val="en-US" w:eastAsia="zh-CN"/>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auto"/>
          <w:kern w:val="0"/>
          <w:sz w:val="27"/>
          <w:szCs w:val="27"/>
        </w:rPr>
        <w:t> </w:t>
      </w:r>
      <w:r>
        <w:rPr>
          <w:rFonts w:hint="eastAsia" w:ascii="仿宋_GB2312" w:hAnsi="仿宋_GB2312" w:eastAsia="仿宋_GB2312" w:cs="仿宋_GB2312"/>
          <w:color w:val="auto"/>
          <w:kern w:val="0"/>
          <w:sz w:val="27"/>
          <w:szCs w:val="27"/>
        </w:rPr>
        <w:t>赤峰市松山区第十六小学是赤峰市松山区教育局主管学校。小学1-6年级教育</w:t>
      </w:r>
      <w:r>
        <w:rPr>
          <w:rFonts w:hint="eastAsia" w:ascii="仿宋_GB2312" w:hAnsi="仿宋_GB2312" w:eastAsia="仿宋_GB2312" w:cs="仿宋_GB2312"/>
          <w:color w:val="auto"/>
          <w:kern w:val="0"/>
          <w:sz w:val="27"/>
          <w:szCs w:val="27"/>
          <w:lang w:val="en-US" w:eastAsia="zh-CN"/>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pPr>
        <w:widowControl/>
        <w:spacing w:before="240" w:after="240"/>
        <w:ind w:firstLine="490"/>
        <w:rPr>
          <w:rFonts w:ascii="fang_song_gb2312" w:hAnsi="fang_song_gb2312" w:eastAsia="fang_song_gb2312" w:cs="fang_song_gb2312"/>
          <w:kern w:val="0"/>
          <w:sz w:val="27"/>
          <w:szCs w:val="27"/>
        </w:rPr>
      </w:pP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.单位职责分工，本单位内设机构教导处、政教处、总务处的额等部门。无下属单位。</w:t>
      </w:r>
    </w:p>
    <w:p>
      <w:pPr>
        <w:widowControl/>
        <w:spacing w:before="240" w:after="240"/>
        <w:ind w:firstLine="49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2</w:t>
      </w:r>
      <w:r>
        <w:rPr>
          <w:rFonts w:ascii="仿宋_GB2312" w:hAnsi="仿宋_GB2312" w:eastAsia="仿宋_GB2312" w:cs="仿宋_GB2312"/>
          <w:kern w:val="0"/>
          <w:sz w:val="27"/>
          <w:szCs w:val="27"/>
        </w:rPr>
        <w:t>.从决算单位构成看，纳入本部门（单位）决算编制范围的预算单位共计</w:t>
      </w:r>
      <w:r>
        <w:rPr>
          <w:rFonts w:hint="eastAsia" w:ascii="仿宋_GB2312" w:hAnsi="仿宋_GB2312" w:eastAsia="仿宋_GB2312" w:cs="仿宋_GB2312"/>
          <w:kern w:val="0"/>
          <w:sz w:val="27"/>
          <w:szCs w:val="27"/>
          <w:u w:val="single"/>
          <w:lang w:val="en-US" w:eastAsia="zh-CN"/>
        </w:rPr>
        <w:t>0</w:t>
      </w:r>
      <w:r>
        <w:rPr>
          <w:rFonts w:ascii="仿宋_GB2312" w:hAnsi="仿宋_GB2312" w:eastAsia="仿宋_GB2312" w:cs="仿宋_GB2312"/>
          <w:kern w:val="0"/>
          <w:sz w:val="27"/>
          <w:szCs w:val="27"/>
        </w:rPr>
        <w:t>家，具体包括：详细情况见表：</w:t>
      </w:r>
    </w:p>
    <w:tbl>
      <w:tblPr>
        <w:tblStyle w:val="18"/>
        <w:tblW w:w="11790" w:type="dxa"/>
        <w:jc w:val="center"/>
        <w:tblCellSpacing w:w="15" w:type="dxa"/>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松山区第十六小学</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E00FE"/>
          <w:kern w:val="0"/>
          <w:sz w:val="27"/>
          <w:szCs w:val="27"/>
        </w:rPr>
        <w:t xml:space="preserve">    </w:t>
      </w:r>
      <w:r>
        <w:rPr>
          <w:rFonts w:ascii="Times New Roman" w:hAnsi="Times New Roman" w:eastAsia="Times New Roman" w:cs="Times New Roman"/>
          <w:kern w:val="0"/>
          <w:sz w:val="24"/>
        </w:rPr>
        <w:t> </w:t>
      </w:r>
      <w:r>
        <w:rPr>
          <w:rFonts w:ascii="宋体" w:hAnsi="宋体" w:eastAsia="宋体" w:cs="宋体"/>
          <w:kern w:val="0"/>
          <w:sz w:val="24"/>
        </w:rPr>
        <w:t>完成一年招生工作招收一年级</w:t>
      </w:r>
      <w:r>
        <w:rPr>
          <w:rFonts w:hint="eastAsia" w:cs="Times New Roman"/>
          <w:kern w:val="0"/>
          <w:sz w:val="24"/>
          <w:lang w:val="en-US" w:eastAsia="zh-CN"/>
        </w:rPr>
        <w:t>6</w:t>
      </w:r>
      <w:r>
        <w:rPr>
          <w:rFonts w:ascii="宋体" w:hAnsi="宋体" w:eastAsia="宋体" w:cs="宋体"/>
          <w:kern w:val="0"/>
          <w:sz w:val="24"/>
        </w:rPr>
        <w:t>个班，完成教学任务，教师教育培训任务，财务管理工作、党建工作。</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赤峰市松山区第十六小学 2024年度收入、支出决算总计均为</w:t>
      </w:r>
      <w:r>
        <w:rPr>
          <w:rFonts w:eastAsia="Times New Roman"/>
          <w:color w:val="000000"/>
          <w:kern w:val="0"/>
          <w:sz w:val="27"/>
          <w:szCs w:val="27"/>
          <w:u w:val="single" w:color="000000"/>
        </w:rPr>
        <w:t xml:space="preserve"> 472.34</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 xml:space="preserve"> -155.07</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-24.72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实际支出减少，部分项目未拨付经费</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397.12</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527.88</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472.34</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472.34</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397.12</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527.88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人员增多，教育投入增多</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472.34</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472.34</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397.12</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527.88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人员增多，教育投入增多</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本单位不存在此项业务</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472.34</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461.38</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97.68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10.96</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2.32</w:t>
      </w:r>
      <w:r>
        <w:rPr>
          <w:rFonts w:ascii="仿宋_GB2312" w:hAnsi="仿宋_GB2312" w:eastAsia="仿宋_GB2312" w:cs="仿宋_GB2312"/>
          <w:color w:val="000000"/>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2000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bookmarkStart w:id="1" w:name="_GoBack"/>
      <w:bookmarkEnd w:id="1"/>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2024年度本年支出决算合计</w:t>
      </w:r>
      <w:r>
        <w:rPr>
          <w:rFonts w:ascii="times_new_roman" w:hAnsi="times_new_roman" w:eastAsia="times_new_roman" w:cs="times_new_roman"/>
          <w:color w:val="000000"/>
          <w:kern w:val="0"/>
          <w:sz w:val="27"/>
          <w:szCs w:val="27"/>
          <w:u w:val="single" w:color="000000"/>
        </w:rPr>
        <w:t> 472.34</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472.34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both"/>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62000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461.38</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 -166.03</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-26.46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教育支出多</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386.15</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513.31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人员增多，教育支出多</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pStyle w:val="28"/>
        <w:widowControl/>
        <w:spacing w:before="240" w:after="240" w:line="560" w:lineRule="atLeast"/>
        <w:ind w:firstLine="6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461.38</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627.41</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73.54</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1．人大事务（款）行政运行（项）。年初预算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kai_ti_gb2312" w:hAnsi="kai_ti_gb2312" w:eastAsia="kai_ti_gb2312" w:cs="kai_ti_gb2312"/>
          <w:b/>
          <w:bCs/>
          <w:color w:val="000000"/>
          <w:kern w:val="0"/>
          <w:sz w:val="27"/>
          <w:szCs w:val="27"/>
        </w:rPr>
        <w:t>（二）公共安全（类）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1．公安（款）行政运行（项）。年初预算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ascii="kai_ti_gb2312" w:hAnsi="kai_ti_gb2312" w:eastAsia="kai_ti_gb2312" w:cs="kai_ti_gb2312"/>
          <w:b/>
          <w:bCs/>
          <w:color w:val="000000"/>
          <w:kern w:val="0"/>
          <w:sz w:val="27"/>
          <w:szCs w:val="27"/>
        </w:rPr>
        <w:t>（三）社会保障和就业支出（类）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30.93</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-1.44</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行政事业单位养老支出（款）行政单位离退休（项）。年初预算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行政事业单位养老支出（款）事业单位离退休（项）。年初预算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29.51</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29.51</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%。决算数与年初预算数的差异原因：机关事业单位基本养老保险缴费支出</w:t>
      </w:r>
      <w:r>
        <w:rPr>
          <w:rFonts w:hint="eastAsia" w:ascii="仿宋_GB2312" w:hAnsi="仿宋_GB2312" w:eastAsia="仿宋_GB2312" w:cs="仿宋_GB2312"/>
          <w:color w:val="000000"/>
          <w:kern w:val="0"/>
          <w:sz w:val="27"/>
          <w:szCs w:val="27"/>
          <w:lang w:val="en-US" w:eastAsia="zh-CN"/>
        </w:rPr>
        <w:t>决算数与年初与预算数无差异</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4．</w:t>
      </w:r>
      <w:r>
        <w:rPr>
          <w:rFonts w:ascii="仿宋_GB2312" w:hAnsi="仿宋_GB2312" w:eastAsia="仿宋_GB2312" w:cs="仿宋_GB2312"/>
          <w:color w:val="000000"/>
          <w:kern w:val="0"/>
          <w:sz w:val="27"/>
          <w:szCs w:val="27"/>
        </w:rPr>
        <w:t>行政事业单位养老支出（款）机关事业单位职业年金缴费支出（项）。年初预算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%。决算数与年初预算数的差异原因：机关事业单位职业年金缴费</w:t>
      </w:r>
      <w:r>
        <w:rPr>
          <w:rFonts w:hint="eastAsia" w:ascii="仿宋_GB2312" w:hAnsi="仿宋_GB2312" w:eastAsia="仿宋_GB2312" w:cs="仿宋_GB2312"/>
          <w:color w:val="000000"/>
          <w:kern w:val="0"/>
          <w:sz w:val="27"/>
          <w:szCs w:val="27"/>
          <w:lang w:val="en-US" w:eastAsia="zh-CN"/>
        </w:rPr>
        <w:t>单位部分未拨付</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12.38</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-1.37</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行政事业单位医疗（款）行政单位医疗（项）。年初预算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本单位无此类人员</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行政事业单位医疗（款）事业单位医疗（项）。年初预算</w:t>
      </w:r>
      <w:r>
        <w:rPr>
          <w:rFonts w:hint="eastAsia" w:ascii="times_new_roman" w:hAnsi="times_new_roman" w:cs="times_new_roman"/>
          <w:color w:val="000000"/>
          <w:kern w:val="0"/>
          <w:sz w:val="27"/>
          <w:szCs w:val="27"/>
          <w:u w:val="single" w:color="000000"/>
          <w:lang w:val="en-US" w:eastAsia="zh-CN"/>
        </w:rPr>
        <w:t>12.38</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12.38</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%。决算数与年初预算数的差异原因：事业单位医疗</w:t>
      </w:r>
      <w:r>
        <w:rPr>
          <w:rFonts w:hint="eastAsia" w:ascii="仿宋_GB2312" w:hAnsi="仿宋_GB2312" w:eastAsia="仿宋_GB2312" w:cs="仿宋_GB2312"/>
          <w:color w:val="000000"/>
          <w:kern w:val="0"/>
          <w:sz w:val="27"/>
          <w:szCs w:val="27"/>
          <w:lang w:val="en-US" w:eastAsia="zh-CN"/>
        </w:rPr>
        <w:t>决算数与年初预算数无差异</w:t>
      </w:r>
      <w:r>
        <w:rPr>
          <w:rFonts w:ascii="仿宋_GB2312" w:hAnsi="仿宋_GB2312" w:eastAsia="仿宋_GB2312" w:cs="仿宋_GB2312"/>
          <w:color w:val="000000"/>
          <w:kern w:val="0"/>
          <w:sz w:val="27"/>
          <w:szCs w:val="27"/>
        </w:rPr>
        <w:t>。</w:t>
      </w:r>
    </w:p>
    <w:p>
      <w:pPr>
        <w:widowControl/>
        <w:spacing w:before="240" w:after="240"/>
        <w:ind w:firstLine="360"/>
        <w:rPr>
          <w:rFonts w:ascii="仿宋_GB2312" w:hAnsi="仿宋_GB2312" w:eastAsia="仿宋_GB2312" w:cs="仿宋_GB2312"/>
          <w:color w:val="000000"/>
          <w:kern w:val="0"/>
          <w:sz w:val="27"/>
          <w:szCs w:val="27"/>
        </w:rPr>
      </w:pP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行政事业单位医疗（款）公务员医疗补助（项）。年初预算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本单位无此类人员</w:t>
      </w:r>
      <w:r>
        <w:rPr>
          <w:rFonts w:ascii="仿宋_GB2312" w:hAnsi="仿宋_GB2312" w:eastAsia="仿宋_GB2312" w:cs="仿宋_GB2312"/>
          <w:color w:val="000000"/>
          <w:kern w:val="0"/>
          <w:sz w:val="27"/>
          <w:szCs w:val="27"/>
        </w:rPr>
        <w:t>。</w:t>
      </w:r>
    </w:p>
    <w:p>
      <w:pPr>
        <w:widowControl/>
        <w:spacing w:before="240" w:after="240"/>
        <w:ind w:firstLine="360"/>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22.29</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-10.72</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22.29</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22.29</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无差异</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2024年度一般公共预算财政拨款基本支出决算</w:t>
      </w:r>
      <w:r>
        <w:rPr>
          <w:rFonts w:ascii="times_new_roman" w:hAnsi="times_new_roman" w:eastAsia="times_new_roman" w:cs="times_new_roman"/>
          <w:color w:val="000000"/>
          <w:kern w:val="0"/>
          <w:sz w:val="27"/>
          <w:szCs w:val="27"/>
          <w:u w:val="single" w:color="000000"/>
        </w:rPr>
        <w:t> 461.38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265.00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。主要包括：基本工资、津贴补贴、绩效工资、机关事业单位基本养老保险缴费、职业年金缴费、职工基本医疗保险缴费、住房公积金、其他对个人和家庭的补助支出等。</w:t>
      </w:r>
    </w:p>
    <w:p>
      <w:pPr>
        <w:widowControl/>
        <w:spacing w:before="240" w:after="240"/>
        <w:ind w:firstLine="271" w:firstLineChars="10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（二）公用经费</w:t>
      </w:r>
      <w:r>
        <w:rPr>
          <w:rFonts w:ascii="times_new_roman" w:hAnsi="times_new_roman" w:eastAsia="times_new_roman" w:cs="times_new_roman"/>
          <w:color w:val="000000"/>
          <w:kern w:val="0"/>
          <w:sz w:val="27"/>
          <w:szCs w:val="27"/>
          <w:u w:val="single" w:color="000000"/>
        </w:rPr>
        <w:t> 196.38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咨询费、手续费、水费、电费、邮电费、取暖费、物业管理费、差旅费、维修（护）费、会议费、培训费、专用材料费、劳务费、委托业务费、工会经费、福利费、、其他交通费用、其他商品和服务支出、办公设备购置、专用设备购置、信息网络及软件购置更新、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黑体" w:hAnsi="黑体" w:eastAsia="黑体" w:cs="黑体"/>
          <w:b/>
          <w:bCs/>
          <w:kern w:val="0"/>
          <w:sz w:val="27"/>
          <w:szCs w:val="27"/>
        </w:rPr>
        <w:t>八、财政拨款“三公”经费支出决算情况说明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kai_ti_gb2312" w:hAnsi="kai_ti_gb2312" w:eastAsia="kai_ti_gb2312" w:cs="kai_ti_gb2312"/>
          <w:b/>
          <w:bCs/>
          <w:kern w:val="0"/>
          <w:sz w:val="27"/>
          <w:szCs w:val="27"/>
        </w:rPr>
        <w:t>（一）财政拨款“三公”经费支出总体情况说明。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与预算差异原因。</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（一）文化旅游与传媒支出（类）国家电影事业发展专项资金安排的支出（款）资助少数民族语电影译制（项）支出</w:t>
      </w:r>
      <w:r>
        <w:rPr>
          <w:rFonts w:hint="eastAsia" w:ascii="times_new_roman" w:hAnsi="times_new_roman" w:cs="times_new_roman"/>
          <w:kern w:val="0"/>
          <w:sz w:val="27"/>
          <w:szCs w:val="27"/>
          <w:u w:val="single"/>
          <w:lang w:val="en-US" w:eastAsia="zh-CN"/>
        </w:rPr>
        <w:t>0</w:t>
      </w:r>
      <w:r>
        <w:rPr>
          <w:rFonts w:ascii="仿宋_GB2312" w:hAnsi="仿宋_GB2312" w:eastAsia="仿宋_GB2312" w:cs="仿宋_GB2312"/>
          <w:kern w:val="0"/>
          <w:sz w:val="27"/>
          <w:szCs w:val="27"/>
        </w:rPr>
        <w:t>万元，</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hint="eastAsia" w:ascii="仿宋_GB2312" w:hAnsi="仿宋_GB2312" w:eastAsia="仿宋_GB2312" w:cs="仿宋_GB2312"/>
          <w:color w:val="1200FF"/>
          <w:kern w:val="0"/>
          <w:sz w:val="27"/>
          <w:szCs w:val="27"/>
          <w:lang w:val="en-US" w:eastAsia="zh-CN"/>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（一）国有资本经营预算支出（类）解决历史遗留问题及改革成本支出（款）“三供一业”移交补助支出（项）支出</w:t>
      </w:r>
      <w:r>
        <w:rPr>
          <w:rFonts w:hint="eastAsia" w:ascii="times_new_roman" w:hAnsi="times_new_roman" w:cs="times_new_roman"/>
          <w:kern w:val="0"/>
          <w:sz w:val="27"/>
          <w:szCs w:val="27"/>
          <w:u w:val="single"/>
          <w:lang w:val="en-US" w:eastAsia="zh-CN"/>
        </w:rPr>
        <w:t>0</w:t>
      </w:r>
      <w:r>
        <w:rPr>
          <w:rFonts w:ascii="仿宋_GB2312" w:hAnsi="仿宋_GB2312" w:eastAsia="仿宋_GB2312" w:cs="仿宋_GB2312"/>
          <w:kern w:val="0"/>
          <w:sz w:val="27"/>
          <w:szCs w:val="27"/>
        </w:rPr>
        <w:t>万元，</w:t>
      </w:r>
      <w:r>
        <w:rPr>
          <w:rFonts w:hint="eastAsia" w:ascii="仿宋_GB2312" w:hAnsi="仿宋_GB2312" w:eastAsia="仿宋_GB2312" w:cs="仿宋_GB2312"/>
          <w:color w:val="000000"/>
          <w:kern w:val="0"/>
          <w:sz w:val="27"/>
          <w:szCs w:val="27"/>
          <w:lang w:val="en-US" w:eastAsia="zh-CN"/>
        </w:rPr>
        <w:t>本单位无此项业务</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黑体" w:hAnsi="黑体" w:eastAsia="黑体" w:cs="黑体"/>
          <w:b/>
          <w:bCs/>
          <w:kern w:val="0"/>
          <w:sz w:val="27"/>
          <w:szCs w:val="27"/>
        </w:rPr>
        <w:t>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2024年度公用经费支出决算</w:t>
      </w:r>
      <w:r>
        <w:rPr>
          <w:rFonts w:eastAsia="Times New Roman"/>
          <w:color w:val="000000"/>
          <w:kern w:val="0"/>
          <w:sz w:val="27"/>
          <w:szCs w:val="27"/>
          <w:u w:val="single" w:color="000000"/>
        </w:rPr>
        <w:t xml:space="preserve"> 207.35</w:t>
      </w:r>
      <w:r>
        <w:rPr>
          <w:rFonts w:ascii="仿宋_GB2312" w:hAnsi="仿宋_GB2312" w:eastAsia="仿宋_GB2312" w:cs="仿宋_GB2312"/>
          <w:color w:val="000000"/>
          <w:kern w:val="0"/>
          <w:sz w:val="27"/>
          <w:szCs w:val="27"/>
        </w:rPr>
        <w:t>万元，与上年决算相比，</w:t>
      </w:r>
      <w:r>
        <w:rPr>
          <w:rFonts w:hint="eastAsia" w:ascii="仿宋_GB2312" w:hAnsi="仿宋_GB2312" w:eastAsia="仿宋_GB2312" w:cs="仿宋_GB2312"/>
          <w:color w:val="000000"/>
          <w:kern w:val="0"/>
          <w:sz w:val="27"/>
          <w:szCs w:val="27"/>
          <w:lang w:val="en-US" w:eastAsia="zh-CN"/>
        </w:rPr>
        <w:t>增加</w:t>
      </w:r>
      <w:r>
        <w:rPr>
          <w:rFonts w:eastAsia="Times New Roman"/>
          <w:color w:val="000000"/>
          <w:kern w:val="0"/>
          <w:sz w:val="27"/>
          <w:szCs w:val="27"/>
          <w:u w:val="single" w:color="000000"/>
        </w:rPr>
        <w:t xml:space="preserve"> 154.25</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290.50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人员增加，经费增加</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auto"/>
          <w:kern w:val="0"/>
          <w:sz w:val="27"/>
          <w:szCs w:val="27"/>
        </w:rPr>
        <w:t>我单位类型为</w:t>
      </w:r>
      <w:r>
        <w:rPr>
          <w:rFonts w:ascii="仿宋_GB2312" w:hAnsi="仿宋_GB2312" w:eastAsia="仿宋_GB2312" w:cs="仿宋_GB2312"/>
          <w:color w:val="auto"/>
          <w:kern w:val="0"/>
          <w:sz w:val="27"/>
          <w:szCs w:val="27"/>
          <w:lang w:eastAsia="en-US"/>
        </w:rPr>
        <w:t>XXX</w:t>
      </w:r>
      <w:r>
        <w:rPr>
          <w:rFonts w:ascii="仿宋_GB2312" w:hAnsi="仿宋_GB2312" w:eastAsia="仿宋_GB2312" w:cs="仿宋_GB2312"/>
          <w:color w:val="auto"/>
          <w:kern w:val="0"/>
          <w:sz w:val="27"/>
          <w:szCs w:val="27"/>
        </w:rPr>
        <w:t>类单位，无机关运行经费支出。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黑体" w:hAnsi="黑体" w:eastAsia="黑体" w:cs="黑体"/>
          <w:b/>
          <w:bCs/>
          <w:kern w:val="0"/>
          <w:sz w:val="27"/>
          <w:szCs w:val="27"/>
        </w:rPr>
        <w:t>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赤峰市松山区第十六小学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赤峰市松山区第十六小学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hint="eastAsia" w:ascii="times_new_roman" w:hAnsi="times_new_roman" w:cs="times_new_roman"/>
          <w:color w:val="000000"/>
          <w:kern w:val="0"/>
          <w:sz w:val="27"/>
          <w:szCs w:val="27"/>
          <w:u w:val="single" w:color="000000"/>
          <w:lang w:val="en-US" w:eastAsia="zh-CN"/>
        </w:rPr>
        <w:t>0</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 组织对“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w:t>
      </w:r>
      <w:r>
        <w:rPr>
          <w:rFonts w:ascii="仿宋_GB2312" w:hAnsi="仿宋_GB2312" w:eastAsia="仿宋_GB2312" w:cs="仿宋_GB2312"/>
          <w:color w:val="000000"/>
          <w:kern w:val="0"/>
          <w:sz w:val="27"/>
          <w:szCs w:val="27"/>
          <w:u w:val="single" w:color="000000"/>
        </w:rPr>
        <w:t> XX </w:t>
      </w:r>
      <w:r>
        <w:rPr>
          <w:rFonts w:ascii="仿宋_GB2312" w:hAnsi="仿宋_GB2312" w:eastAsia="仿宋_GB2312" w:cs="仿宋_GB2312"/>
          <w:color w:val="000000"/>
          <w:kern w:val="0"/>
          <w:sz w:val="27"/>
          <w:szCs w:val="27"/>
        </w:rPr>
        <w:t>个项目开展了部门评价，涉及一般公共预算支出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万元，政府性基金支出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万元，其中，对“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项目”等项目分别委托相关第三方机构开展绩效评价。</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赤峰市松山区第十六小学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1</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pPr>
        <w:widowControl/>
        <w:numPr>
          <w:ilvl w:val="0"/>
          <w:numId w:val="1"/>
        </w:numPr>
        <w:spacing w:before="240" w:after="240"/>
        <w:ind w:left="420" w:leftChars="0" w:firstLine="0" w:firstLineChars="0"/>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部门项目绩效评价结果。</w:t>
      </w:r>
    </w:p>
    <w:p>
      <w:pPr>
        <w:widowControl/>
        <w:numPr>
          <w:numId w:val="0"/>
        </w:numPr>
        <w:spacing w:before="240" w:after="240"/>
        <w:rPr>
          <w:rFonts w:ascii="kai_ti_gb2312" w:hAnsi="kai_ti_gb2312" w:eastAsia="kai_ti_gb2312" w:cs="kai_ti_gb2312"/>
          <w:b/>
          <w:bCs/>
          <w:kern w:val="0"/>
          <w:sz w:val="27"/>
          <w:szCs w:val="27"/>
        </w:rPr>
      </w:pPr>
      <w:r>
        <w:rPr>
          <w:rFonts w:hint="eastAsia" w:ascii="kai_ti_gb2312" w:hAnsi="kai_ti_gb2312" w:cs="kai_ti_gb2312"/>
          <w:b/>
          <w:bCs/>
          <w:kern w:val="0"/>
          <w:sz w:val="27"/>
          <w:szCs w:val="27"/>
          <w:lang w:val="en-US" w:eastAsia="zh-CN"/>
        </w:rPr>
        <w:t>无</w:t>
      </w:r>
    </w:p>
    <w:p>
      <w:pPr>
        <w:widowControl/>
        <w:spacing w:before="240" w:after="240"/>
        <w:jc w:val="left"/>
        <w:rPr>
          <w:rFonts w:ascii="Times New Roman" w:hAnsi="Times New Roman" w:eastAsia="Times New Roman" w:cs="Times New Roman"/>
          <w:b/>
          <w:bCs/>
          <w:kern w:val="0"/>
          <w:sz w:val="36"/>
          <w:szCs w:val="36"/>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王利民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0476-5887985-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song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4A5C4"/>
    <w:multiLevelType w:val="singleLevel"/>
    <w:tmpl w:val="35E4A5C4"/>
    <w:lvl w:ilvl="0" w:tentative="0">
      <w:start w:val="3"/>
      <w:numFmt w:val="chineseCounting"/>
      <w:suff w:val="nothing"/>
      <w:lvlText w:val="（%1）"/>
      <w:lvlJc w:val="left"/>
      <w:pPr>
        <w:ind w:left="4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309C7068"/>
    <w:rsid w:val="351267AA"/>
    <w:rsid w:val="35E63F9B"/>
    <w:rsid w:val="406C541A"/>
    <w:rsid w:val="49C53F74"/>
    <w:rsid w:val="49DC377C"/>
    <w:rsid w:val="4BDC6622"/>
    <w:rsid w:val="4E907693"/>
    <w:rsid w:val="50C92D34"/>
    <w:rsid w:val="51CD438B"/>
    <w:rsid w:val="66D70933"/>
    <w:rsid w:val="708B7819"/>
    <w:rsid w:val="722261C2"/>
    <w:rsid w:val="79C04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Words>
  <Characters>40</Characters>
  <Lines>1</Lines>
  <Paragraphs>1</Paragraphs>
  <TotalTime>9</TotalTime>
  <ScaleCrop>false</ScaleCrop>
  <LinksUpToDate>false</LinksUpToDate>
  <CharactersWithSpaces>46</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Lenovo</cp:lastModifiedBy>
  <cp:lastPrinted>2021-04-16T00:45:00Z</cp:lastPrinted>
  <dcterms:modified xsi:type="dcterms:W3CDTF">2025-09-28T09:20:21Z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2052-11.8.2.8721</vt:lpwstr>
  </property>
  <property fmtid="{D5CDD505-2E9C-101B-9397-08002B2CF9AE}" pid="4" name="KSOTemplateDocerSaveRecord">
    <vt:lpwstr>eyJoZGlkIjoiN2YzNjBkOTgyNWQ1YTMxYzM3MzMwNWFiODNmOWIzYWMiLCJ1c2VySWQiOiI4MDUyMTE2MjkifQ==</vt:lpwstr>
  </property>
</Properties>
</file>