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bookmarkStart w:id="1" w:name="_GoBack"/>
      <w:r>
        <w:rPr>
          <w:rFonts w:ascii="宋体" w:hAnsi="宋体"/>
          <w:b/>
          <w:bCs/>
          <w:sz w:val="52"/>
          <w:szCs w:val="52"/>
        </w:rPr>
        <w:t>2024</w:t>
      </w:r>
      <w:r>
        <w:rPr>
          <w:rFonts w:hint="eastAsia" w:ascii="宋体" w:hAnsi="宋体"/>
          <w:b/>
          <w:bCs/>
          <w:sz w:val="52"/>
          <w:szCs w:val="52"/>
        </w:rPr>
        <w:t>年度中共赤峰市松山区委员会组织部</w:t>
      </w:r>
    </w:p>
    <w:p w14:paraId="77E6C3D2">
      <w:pPr>
        <w:spacing w:line="360" w:lineRule="auto"/>
        <w:jc w:val="center"/>
        <w:rPr>
          <w:rFonts w:ascii="宋体" w:hAnsi="宋体"/>
          <w:b/>
          <w:bCs/>
          <w:sz w:val="52"/>
          <w:szCs w:val="52"/>
        </w:rPr>
      </w:pPr>
      <w:r>
        <w:rPr>
          <w:rFonts w:hint="eastAsia" w:ascii="宋体" w:hAnsi="宋体"/>
          <w:b/>
          <w:bCs/>
          <w:sz w:val="52"/>
          <w:szCs w:val="52"/>
          <w:lang w:val="en-US" w:eastAsia="zh-CN"/>
        </w:rPr>
        <w:t>部门决算</w:t>
      </w:r>
      <w:r>
        <w:rPr>
          <w:rFonts w:hint="eastAsia" w:ascii="宋体" w:hAnsi="宋体"/>
          <w:b/>
          <w:bCs/>
          <w:sz w:val="52"/>
          <w:szCs w:val="52"/>
        </w:rPr>
        <w:t>公开报告</w:t>
      </w:r>
      <w:bookmarkEnd w:id="1"/>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0F521DD7">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0A77D5D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部门概况</w:t>
      </w:r>
    </w:p>
    <w:p w14:paraId="526D8D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3999E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二、部门机构设置及决算单位构成情况</w:t>
      </w:r>
    </w:p>
    <w:p w14:paraId="2501A87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三、2024年度部门主要工作完成情况</w:t>
      </w:r>
    </w:p>
    <w:p w14:paraId="33AD442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部门决算情况说明</w:t>
      </w:r>
    </w:p>
    <w:p w14:paraId="0D930A3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7E0E993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323935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4988E06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446370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5E6860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79CC490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76382F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0545D4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52BC13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0F0D703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17FD0C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225934E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AD4F3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BCFEB8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8C8A8A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30F0B4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部门决算表</w:t>
      </w:r>
    </w:p>
    <w:p w14:paraId="2695D1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1C0F350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2FAFAC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6633C0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2F892E2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EB67D0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186E7D6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3890992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7C8E22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26872AE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37C9748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36A1462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14:paraId="6A64978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A62539B">
      <w:pPr>
        <w:widowControl/>
        <w:spacing w:before="240" w:after="240"/>
        <w:rPr>
          <w:rFonts w:hint="eastAsia" w:ascii="仿宋_GB2312" w:hAnsi="仿宋_GB2312" w:eastAsia="仿宋_GB2312" w:cs="仿宋_GB2312"/>
          <w:kern w:val="0"/>
          <w:sz w:val="27"/>
          <w:szCs w:val="27"/>
          <w:lang w:eastAsia="zh-CN"/>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 </w:t>
      </w: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eastAsia="zh-CN"/>
        </w:rPr>
        <w:t>全面贯彻党中央的大政方针政策和新时代党的组织路线，深入落实自治区党委、市委和区委关于党的建设和组织工作部署要求。研究制定全区组织工作的政策制度并督促落实。统筹协调和指导全区组织工作。</w:t>
      </w:r>
    </w:p>
    <w:p w14:paraId="56AB79D4">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eastAsia="zh-CN"/>
        </w:rPr>
        <w:t>围绕加强党的组织体系建设，以提升组织力为重点，指导全区党的基层组织建设。研究制定党的基层组织建设有关政策规划制度，统筹推进农村、机关、事业单位、街道社区、企业和社会组织等各领域基层党组织和党员队伍建设，推动各领域基层党组织条块联动、资源共享、机制衔接、功能优化、融合发展。</w:t>
      </w:r>
    </w:p>
    <w:p w14:paraId="57DCB0D5">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lang w:eastAsia="zh-CN"/>
        </w:rPr>
        <w:t>负责全区领导班子和干部队伍建设管理。研究提出区委管理的领导班子调整、配备意见建议，推动构建精准科学选人用人机制，建立健全素质培养、知事识人、选拔任用、从严管理、正向激励体系。负责区委管理干部的考察和办理任免及有关待遇的审批。负责组织部门管理范围内人员的股级干部的备案管理和宏观管理工作。</w:t>
      </w:r>
    </w:p>
    <w:p w14:paraId="1A93891B">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4、</w:t>
      </w:r>
      <w:r>
        <w:rPr>
          <w:rFonts w:hint="eastAsia" w:ascii="仿宋_GB2312" w:hAnsi="仿宋_GB2312" w:eastAsia="仿宋_GB2312" w:cs="仿宋_GB2312"/>
          <w:kern w:val="0"/>
          <w:sz w:val="27"/>
          <w:szCs w:val="27"/>
          <w:lang w:eastAsia="zh-CN"/>
        </w:rPr>
        <w:t>研究制定全区干部队伍建设的有关政策规划制度，综合管理优秀年轻干部队伍，统筹做好选育管用工作，指导协调培养选拔女干部、少数民族干部和党外干部工作。</w:t>
      </w:r>
    </w:p>
    <w:p w14:paraId="53BEED40">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5、</w:t>
      </w:r>
      <w:r>
        <w:rPr>
          <w:rFonts w:hint="eastAsia" w:ascii="仿宋_GB2312" w:hAnsi="仿宋_GB2312" w:eastAsia="仿宋_GB2312" w:cs="仿宋_GB2312"/>
          <w:kern w:val="0"/>
          <w:sz w:val="27"/>
          <w:szCs w:val="27"/>
          <w:lang w:eastAsia="zh-CN"/>
        </w:rPr>
        <w:t>负责指导全区党的建设的理论研究，承担区党的建设制度改革以及全区干部人事制度改革有关工作。</w:t>
      </w:r>
    </w:p>
    <w:p w14:paraId="5E0A5246">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6、</w:t>
      </w:r>
      <w:r>
        <w:rPr>
          <w:rFonts w:hint="eastAsia" w:ascii="仿宋_GB2312" w:hAnsi="仿宋_GB2312" w:eastAsia="仿宋_GB2312" w:cs="仿宋_GB2312"/>
          <w:kern w:val="0"/>
          <w:sz w:val="27"/>
          <w:szCs w:val="27"/>
          <w:lang w:eastAsia="zh-CN"/>
        </w:rPr>
        <w:t>统一管理公务员工作。研究落实公务员管理有关政策规划制度并组织实施，指导全区公务员队伍建设和绩效管理，负责公务员录用调配、职务职级、考核奖惩、培训聘任和工资福利等工作。</w:t>
      </w:r>
    </w:p>
    <w:p w14:paraId="32450AEA">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7、</w:t>
      </w:r>
      <w:r>
        <w:rPr>
          <w:rFonts w:hint="eastAsia" w:ascii="仿宋_GB2312" w:hAnsi="仿宋_GB2312" w:eastAsia="仿宋_GB2312" w:cs="仿宋_GB2312"/>
          <w:kern w:val="0"/>
          <w:sz w:val="27"/>
          <w:szCs w:val="27"/>
          <w:lang w:eastAsia="zh-CN"/>
        </w:rPr>
        <w:t>负责全区人才队伍建设，研究制定人才工作的规划和政策制度，推进人才发展体制机制改革。负责做好党的知识分子工作。</w:t>
      </w:r>
    </w:p>
    <w:p w14:paraId="5BA6A720">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8、</w:t>
      </w:r>
      <w:r>
        <w:rPr>
          <w:rFonts w:hint="eastAsia" w:ascii="仿宋_GB2312" w:hAnsi="仿宋_GB2312" w:eastAsia="仿宋_GB2312" w:cs="仿宋_GB2312"/>
          <w:kern w:val="0"/>
          <w:sz w:val="27"/>
          <w:szCs w:val="27"/>
          <w:lang w:eastAsia="zh-CN"/>
        </w:rPr>
        <w:t>负责研究制定全区党员、干部教育的政策规划，指导落实全区党员、干部教育培训工作，组织实施对区委管理干部、年轻干部和组工干部的培训。</w:t>
      </w:r>
    </w:p>
    <w:p w14:paraId="44BABC97">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9、</w:t>
      </w:r>
      <w:r>
        <w:rPr>
          <w:rFonts w:hint="eastAsia" w:ascii="仿宋_GB2312" w:hAnsi="仿宋_GB2312" w:eastAsia="仿宋_GB2312" w:cs="仿宋_GB2312"/>
          <w:kern w:val="0"/>
          <w:sz w:val="27"/>
          <w:szCs w:val="27"/>
          <w:lang w:eastAsia="zh-CN"/>
        </w:rPr>
        <w:t>负责全区各级领导班子和领导干部年度考核工作，组织实施区委管理的领导班子和领导干部的年度考核。</w:t>
      </w:r>
    </w:p>
    <w:p w14:paraId="056FDD0C">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10、</w:t>
      </w:r>
      <w:r>
        <w:rPr>
          <w:rFonts w:hint="eastAsia" w:ascii="仿宋_GB2312" w:hAnsi="仿宋_GB2312" w:eastAsia="仿宋_GB2312" w:cs="仿宋_GB2312"/>
          <w:kern w:val="0"/>
          <w:sz w:val="27"/>
          <w:szCs w:val="27"/>
          <w:lang w:eastAsia="zh-CN"/>
        </w:rPr>
        <w:t>负责贯彻执行党中央有关离退休干部工作的方针政策，按照区委部署和要求，研究制定全区离退休干部工作的具体政策办法。</w:t>
      </w:r>
    </w:p>
    <w:p w14:paraId="4171FB6B">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11、</w:t>
      </w:r>
      <w:r>
        <w:rPr>
          <w:rFonts w:hint="eastAsia" w:ascii="仿宋_GB2312" w:hAnsi="仿宋_GB2312" w:eastAsia="仿宋_GB2312" w:cs="仿宋_GB2312"/>
          <w:kern w:val="0"/>
          <w:sz w:val="27"/>
          <w:szCs w:val="27"/>
          <w:lang w:eastAsia="zh-CN"/>
        </w:rPr>
        <w:t>负责全区组织、干部、人才、公务员、老干部工作的督促检查，及时向区委报告重要情况并提出建议。</w:t>
      </w:r>
    </w:p>
    <w:p w14:paraId="5D147F1E">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12、</w:t>
      </w:r>
      <w:r>
        <w:rPr>
          <w:rFonts w:hint="eastAsia" w:ascii="仿宋_GB2312" w:hAnsi="仿宋_GB2312" w:eastAsia="仿宋_GB2312" w:cs="仿宋_GB2312"/>
          <w:kern w:val="0"/>
          <w:sz w:val="27"/>
          <w:szCs w:val="27"/>
          <w:lang w:eastAsia="zh-CN"/>
        </w:rPr>
        <w:t>负责统一管理机构编制工作，归口管理中共赤峰市松山区委机构编制委员会办公室。</w:t>
      </w:r>
    </w:p>
    <w:p w14:paraId="732B59EE">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13、</w:t>
      </w:r>
      <w:r>
        <w:rPr>
          <w:rFonts w:hint="eastAsia" w:ascii="仿宋_GB2312" w:hAnsi="仿宋_GB2312" w:eastAsia="仿宋_GB2312" w:cs="仿宋_GB2312"/>
          <w:kern w:val="0"/>
          <w:sz w:val="27"/>
          <w:szCs w:val="27"/>
          <w:lang w:eastAsia="zh-CN"/>
        </w:rPr>
        <w:t>协助管理有关驻区垂管单位的领导班子和领导干部。</w:t>
      </w:r>
    </w:p>
    <w:p w14:paraId="0BBCCF25">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14、</w:t>
      </w:r>
      <w:r>
        <w:rPr>
          <w:rFonts w:hint="eastAsia" w:ascii="仿宋_GB2312" w:hAnsi="仿宋_GB2312" w:eastAsia="仿宋_GB2312" w:cs="仿宋_GB2312"/>
          <w:kern w:val="0"/>
          <w:sz w:val="27"/>
          <w:szCs w:val="27"/>
          <w:lang w:eastAsia="zh-CN"/>
        </w:rPr>
        <w:t>完成区委交办的其他任务。</w:t>
      </w:r>
    </w:p>
    <w:p w14:paraId="281BD42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4FE7709E">
      <w:pPr>
        <w:widowControl/>
        <w:spacing w:before="240" w:after="240"/>
        <w:ind w:firstLine="489"/>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1.</w:t>
      </w:r>
      <w:r>
        <w:rPr>
          <w:rFonts w:ascii="仿宋_GB2312" w:hAnsi="仿宋_GB2312" w:eastAsia="仿宋_GB2312" w:cs="仿宋_GB2312"/>
          <w:kern w:val="0"/>
          <w:sz w:val="27"/>
          <w:szCs w:val="27"/>
        </w:rPr>
        <w:t>根据部门职责分工，本部门内设机构包括</w:t>
      </w:r>
      <w:r>
        <w:rPr>
          <w:rFonts w:hint="eastAsia" w:ascii="仿宋_GB2312" w:hAnsi="仿宋_GB2312" w:eastAsia="仿宋_GB2312" w:cs="仿宋_GB2312"/>
          <w:kern w:val="0"/>
          <w:sz w:val="27"/>
          <w:szCs w:val="27"/>
          <w:lang w:val="en-US" w:eastAsia="zh-CN"/>
        </w:rPr>
        <w:t>办公室、干部一室、干部二室、公务员室、组织一室、组织二室、组织三室、老干部管理室、驻村干部管理室</w:t>
      </w:r>
      <w:r>
        <w:rPr>
          <w:rFonts w:ascii="仿宋_GB2312" w:hAnsi="仿宋_GB2312" w:eastAsia="仿宋_GB2312" w:cs="仿宋_GB2312"/>
          <w:kern w:val="0"/>
          <w:sz w:val="27"/>
          <w:szCs w:val="27"/>
        </w:rPr>
        <w:t>。本部门</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下属单位。</w:t>
      </w:r>
    </w:p>
    <w:p w14:paraId="5C881EFE">
      <w:pPr>
        <w:widowControl/>
        <w:spacing w:before="240" w:after="240"/>
        <w:ind w:firstLine="489"/>
        <w:rPr>
          <w:rFonts w:ascii="Times New Roman" w:hAnsi="Times New Roman" w:eastAsia="Times New Roman" w:cs="Times New Roman"/>
          <w:kern w:val="0"/>
          <w:sz w:val="24"/>
        </w:rPr>
      </w:pPr>
      <w:r>
        <w:rPr>
          <w:rFonts w:ascii="仿宋_GB2312" w:hAnsi="仿宋_GB2312" w:eastAsia="仿宋_GB2312" w:cs="仿宋_GB2312"/>
          <w:kern w:val="0"/>
          <w:sz w:val="27"/>
          <w:szCs w:val="27"/>
        </w:rPr>
        <w:t>2.从决算单位构成看，纳入本部门决算编制范围的预算单位共计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中共赤峰市松山区委员会组织部</w:t>
      </w:r>
      <w:r>
        <w:rPr>
          <w:rFonts w:ascii="仿宋_GB2312" w:hAnsi="仿宋_GB2312" w:eastAsia="仿宋_GB2312" w:cs="仿宋_GB2312"/>
          <w:kern w:val="0"/>
          <w:sz w:val="27"/>
          <w:szCs w:val="27"/>
        </w:rPr>
        <w:t>部门本级。详细情况见表：</w:t>
      </w:r>
    </w:p>
    <w:tbl>
      <w:tblPr>
        <w:tblStyle w:val="22"/>
        <w:tblW w:w="1159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273"/>
        <w:gridCol w:w="6809"/>
        <w:gridCol w:w="3517"/>
      </w:tblGrid>
      <w:tr w14:paraId="1354CD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22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D1954FA">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21A66EF">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47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5E562CC">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7D496C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22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E3DD0D8">
            <w:pPr>
              <w:widowControl/>
              <w:jc w:val="center"/>
              <w:rPr>
                <w:rFonts w:hint="eastAsia"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8B64AC6">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中共赤峰市松山区委员会组织部本级</w:t>
            </w:r>
          </w:p>
        </w:tc>
        <w:tc>
          <w:tcPr>
            <w:tcW w:w="347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C294BBC">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14:paraId="56B4C0EC">
      <w:pPr>
        <w:widowControl/>
        <w:spacing w:before="240" w:after="240"/>
        <w:jc w:val="left"/>
        <w:rPr>
          <w:rFonts w:ascii="Times New Roman" w:hAnsi="Times New Roman" w:eastAsia="Times New Roman" w:cs="Times New Roman"/>
          <w:kern w:val="0"/>
          <w:sz w:val="24"/>
        </w:rPr>
      </w:pPr>
    </w:p>
    <w:p w14:paraId="05EAEAF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3FF8D1CC">
      <w:pPr>
        <w:pStyle w:val="9"/>
        <w:keepNext w:val="0"/>
        <w:keepLines w:val="0"/>
        <w:pageBreakBefore w:val="0"/>
        <w:widowControl w:val="0"/>
        <w:kinsoku/>
        <w:wordWrap/>
        <w:overflowPunct/>
        <w:topLinePunct w:val="0"/>
        <w:autoSpaceDE/>
        <w:autoSpaceDN/>
        <w:bidi w:val="0"/>
        <w:snapToGrid w:val="0"/>
        <w:spacing w:after="0"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1、贯彻落实“用党的科学理论武装全党”要求，着力把党的创新理论转化为工作成效。重点以习近平新时代中国特色社会主义思想学习教育为主线，结合区委中心工作将党的二十大精神轮训融入到招商引资、乡村振兴等专业化培训班次，全面提升基层干部履职能力。</w:t>
      </w:r>
    </w:p>
    <w:p w14:paraId="589E3DA2">
      <w:pPr>
        <w:keepNext w:val="0"/>
        <w:keepLines w:val="0"/>
        <w:pageBreakBefore w:val="0"/>
        <w:widowControl w:val="0"/>
        <w:kinsoku/>
        <w:wordWrap/>
        <w:overflowPunct/>
        <w:topLinePunct w:val="0"/>
        <w:autoSpaceDE/>
        <w:autoSpaceDN/>
        <w:bidi w:val="0"/>
        <w:adjustRightInd w:val="0"/>
        <w:snapToGrid w:val="0"/>
        <w:spacing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2、贯彻落实“着力培养忠诚干净担当的高素质干部”要求，不断提高干部工作质量。注重在加强党的全面领导、推动高质量发展、乡村振兴等重点工作重大斗争一线考察识别干部，建设一支堪当民族复兴重任的高素质干部队伍。</w:t>
      </w:r>
    </w:p>
    <w:p w14:paraId="07E8A847">
      <w:pPr>
        <w:keepNext w:val="0"/>
        <w:keepLines w:val="0"/>
        <w:pageBreakBefore w:val="0"/>
        <w:widowControl w:val="0"/>
        <w:kinsoku/>
        <w:wordWrap/>
        <w:overflowPunct/>
        <w:topLinePunct w:val="0"/>
        <w:autoSpaceDE/>
        <w:autoSpaceDN/>
        <w:bidi w:val="0"/>
        <w:snapToGrid w:val="0"/>
        <w:spacing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3、树立大抓基层的鲜明导向，不断推动基层党组织建设全面进步全面过硬。强化党建引领乡村振兴，持续推进“红色物业”创建，扎实做好机关、国企、学校、非公等领域党建工作，织密建强基层党的组织体系，筑牢坚强战斗堡垒，不断提升基层党组织政治功能和组织力。</w:t>
      </w:r>
    </w:p>
    <w:p w14:paraId="2DBF4F4A">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bidi="ar-SA"/>
        </w:rPr>
        <w:t>4、贯彻落实“党管人才”要求，全方位培养引进用好人才”要求，为高质量发展提供坚强人才保证。不断加大乡土人才育用力度。利用好人才基地资源，开展好职业农民培训、致富带头人经营管理能力培训，全面提升乡村人才素质能力。</w:t>
      </w:r>
    </w:p>
    <w:p w14:paraId="4A35D1DD">
      <w:pPr>
        <w:widowControl/>
        <w:spacing w:before="240" w:after="240"/>
        <w:jc w:val="left"/>
        <w:rPr>
          <w:rFonts w:ascii="Times New Roman" w:hAnsi="Times New Roman" w:eastAsia="Times New Roman" w:cs="Times New Roman"/>
          <w:kern w:val="0"/>
          <w:sz w:val="24"/>
        </w:rPr>
      </w:pPr>
    </w:p>
    <w:p w14:paraId="7268E8C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5A52024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067D8AE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中共赤峰市松山区委员会组织部 2024年度收入、支出决算总计均为 594.41万元。与年初预算相比，收、支总计各减少 -367.02万元，下降 -38.17%，变动原因：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；与上年决算相比，收、支总计各减少</w:t>
      </w:r>
      <w:r>
        <w:rPr>
          <w:rFonts w:hint="eastAsia" w:ascii="仿宋_GB2312" w:hAnsi="仿宋_GB2312" w:eastAsia="仿宋_GB2312" w:cs="仿宋_GB2312"/>
          <w:color w:val="000000"/>
          <w:kern w:val="0"/>
          <w:sz w:val="27"/>
          <w:szCs w:val="27"/>
          <w:lang w:val="en-US" w:eastAsia="zh-CN"/>
        </w:rPr>
        <w:t>-459.80万元，下降 -43.62%。</w:t>
      </w:r>
      <w:r>
        <w:rPr>
          <w:rFonts w:ascii="仿宋_GB2312" w:hAnsi="仿宋_GB2312" w:eastAsia="仿宋_GB2312" w:cs="仿宋_GB2312"/>
          <w:color w:val="000000"/>
          <w:kern w:val="0"/>
          <w:sz w:val="27"/>
          <w:szCs w:val="27"/>
        </w:rPr>
        <w:t>其中：</w:t>
      </w:r>
    </w:p>
    <w:p w14:paraId="17D0860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w:t>
      </w:r>
      <w:r>
        <w:rPr>
          <w:rFonts w:ascii="kai_ti_gb2312" w:hAnsi="kai_ti_gb2312" w:eastAsia="kai_ti_gb2312" w:cs="kai_ti_gb2312"/>
          <w:b/>
          <w:bCs/>
          <w:color w:val="000000"/>
          <w:kern w:val="0"/>
          <w:sz w:val="27"/>
          <w:szCs w:val="27"/>
        </w:rPr>
        <w:t>594.41万元。包括：</w:t>
      </w:r>
    </w:p>
    <w:p w14:paraId="2FCB6E1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594.41万元。与上年决算相比，减少-459.80万元，下降-43.62%，变动原因：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3FE838F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 0万元。</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ascii="仿宋_GB2312" w:hAnsi="仿宋_GB2312" w:eastAsia="仿宋_GB2312" w:cs="仿宋_GB2312"/>
          <w:color w:val="000000"/>
          <w:kern w:val="0"/>
          <w:sz w:val="27"/>
          <w:szCs w:val="27"/>
        </w:rPr>
        <w:t>。</w:t>
      </w:r>
    </w:p>
    <w:p w14:paraId="2918F545">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仿宋_GB2312" w:hAnsi="仿宋_GB2312" w:eastAsia="仿宋_GB2312" w:cs="仿宋_GB2312"/>
          <w:color w:val="000000"/>
          <w:kern w:val="0"/>
          <w:sz w:val="27"/>
          <w:szCs w:val="27"/>
        </w:rPr>
        <w:t>0万元。</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hint="eastAsia" w:ascii="仿宋_GB2312" w:hAnsi="仿宋_GB2312" w:eastAsia="仿宋_GB2312" w:cs="仿宋_GB2312"/>
          <w:color w:val="000000"/>
          <w:kern w:val="0"/>
          <w:sz w:val="27"/>
          <w:szCs w:val="27"/>
          <w:lang w:val="en-US" w:eastAsia="zh-CN"/>
        </w:rPr>
        <w:t>。</w:t>
      </w:r>
    </w:p>
    <w:p w14:paraId="68AB6A4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（二）支出决算总计594.41万元。包括：</w:t>
      </w:r>
    </w:p>
    <w:p w14:paraId="260090A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 594.41万元。与上年决算相比，减少 -459.80万元，下降 -43.62%，变动原因：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31EB574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2.结余分配 0万元。结余分配事项：</w:t>
      </w:r>
      <w:r>
        <w:rPr>
          <w:rFonts w:hint="eastAsia" w:ascii="仿宋_GB2312" w:hAnsi="仿宋_GB2312" w:eastAsia="仿宋_GB2312" w:cs="仿宋_GB2312"/>
          <w:color w:val="000000"/>
          <w:kern w:val="0"/>
          <w:sz w:val="27"/>
          <w:szCs w:val="27"/>
          <w:lang w:val="en-US" w:eastAsia="zh-CN"/>
        </w:rPr>
        <w:t>本部门不存在此项内容</w:t>
      </w:r>
      <w:r>
        <w:rPr>
          <w:rFonts w:ascii="仿宋_GB2312" w:hAnsi="仿宋_GB2312" w:eastAsia="仿宋_GB2312" w:cs="仿宋_GB2312"/>
          <w:color w:val="000000"/>
          <w:kern w:val="0"/>
          <w:sz w:val="27"/>
          <w:szCs w:val="27"/>
        </w:rPr>
        <w:t>。</w:t>
      </w:r>
    </w:p>
    <w:p w14:paraId="432C4AD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 0万元。结转和结余事项：</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hint="eastAsia" w:ascii="仿宋_GB2312" w:hAnsi="仿宋_GB2312" w:eastAsia="仿宋_GB2312" w:cs="仿宋_GB2312"/>
          <w:color w:val="000000"/>
          <w:kern w:val="0"/>
          <w:sz w:val="27"/>
          <w:szCs w:val="27"/>
          <w:lang w:val="en-US" w:eastAsia="zh-CN"/>
        </w:rPr>
        <w:t>。</w:t>
      </w:r>
      <w:r>
        <w:rPr>
          <w:rFonts w:ascii="仿宋_GB2312" w:hAnsi="仿宋_GB2312" w:eastAsia="仿宋_GB2312" w:cs="仿宋_GB2312"/>
          <w:color w:val="0E00FE"/>
          <w:kern w:val="0"/>
          <w:sz w:val="27"/>
          <w:szCs w:val="27"/>
        </w:rPr>
        <w:t xml:space="preserve">    </w:t>
      </w:r>
    </w:p>
    <w:p w14:paraId="3073D71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58B0FD2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2024年度本年收入决算合计 594.41万元，其中：</w:t>
      </w:r>
    </w:p>
    <w:p w14:paraId="1945491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本年一般公共预算财政拨款收入 594.41万元，占 100.00%；</w:t>
      </w:r>
    </w:p>
    <w:p w14:paraId="1451CD7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本年政府性基金预算财政拨款收入 0万元，占 0%；</w:t>
      </w:r>
    </w:p>
    <w:p w14:paraId="6D694C9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本年国有资本经营预算财政拨款收入 0万元，占 0%；</w:t>
      </w:r>
    </w:p>
    <w:p w14:paraId="161FE03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本年上级补助收入 0万元，占 0%；</w:t>
      </w:r>
    </w:p>
    <w:p w14:paraId="06B39950">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本年事业收入 0万元，占 0%；</w:t>
      </w:r>
    </w:p>
    <w:p w14:paraId="1961529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本年经营收入 0万元，占 0%；</w:t>
      </w:r>
    </w:p>
    <w:p w14:paraId="6A6647D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本年附属单位上缴收入 0万元，占 0%；</w:t>
      </w:r>
    </w:p>
    <w:p w14:paraId="655D292A">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本年其他收入 0万元，占 0%。</w:t>
      </w:r>
    </w:p>
    <w:p w14:paraId="5E19A393">
      <w:pPr>
        <w:widowControl/>
        <w:spacing w:before="240" w:after="240"/>
        <w:rPr>
          <w:rFonts w:ascii="Times New Roman" w:hAnsi="Times New Roman" w:eastAsia="Times New Roman" w:cs="Times New Roman"/>
          <w:kern w:val="0"/>
          <w:sz w:val="24"/>
        </w:rPr>
      </w:pPr>
    </w:p>
    <w:p w14:paraId="5459C45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609080" cy="4088765"/>
            <wp:effectExtent l="0" t="0" r="1270" b="698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6"/>
                    <a:stretch>
                      <a:fillRect/>
                    </a:stretch>
                  </pic:blipFill>
                  <pic:spPr>
                    <a:xfrm>
                      <a:off x="0" y="0"/>
                      <a:ext cx="6609080" cy="40887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0F7A553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图1.收入决算图</w:t>
      </w:r>
    </w:p>
    <w:p w14:paraId="250CD2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7A4478B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2024年度本年支出决算合计 594.41万元，其中：</w:t>
      </w:r>
    </w:p>
    <w:p w14:paraId="3446E17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本年基本支出 415.25万元，占 69.86%；</w:t>
      </w:r>
    </w:p>
    <w:p w14:paraId="6CE87A6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本年项目支出 179.16万元，占 30.14%；</w:t>
      </w:r>
    </w:p>
    <w:p w14:paraId="2D5BC00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本年上缴上级支出 0万元，占 0%；</w:t>
      </w:r>
    </w:p>
    <w:p w14:paraId="40D7339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本年经营支出 0万元，占 0%；</w:t>
      </w:r>
    </w:p>
    <w:p w14:paraId="1FC8B4B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本年对附属单位补助支出 0万元，占 0%。</w:t>
      </w:r>
    </w:p>
    <w:p w14:paraId="22662C0A">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140450" cy="3924300"/>
            <wp:effectExtent l="0" t="0" r="1270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7"/>
                    <a:stretch>
                      <a:fillRect/>
                    </a:stretch>
                  </pic:blipFill>
                  <pic:spPr>
                    <a:xfrm>
                      <a:off x="0" y="0"/>
                      <a:ext cx="6140450" cy="39243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117216E">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2CE79A13">
      <w:pPr>
        <w:widowControl/>
        <w:spacing w:before="240" w:after="240"/>
        <w:jc w:val="left"/>
        <w:rPr>
          <w:rFonts w:ascii="Times New Roman" w:hAnsi="Times New Roman" w:eastAsia="Times New Roman" w:cs="Times New Roman"/>
          <w:kern w:val="0"/>
          <w:sz w:val="24"/>
        </w:rPr>
      </w:pPr>
    </w:p>
    <w:p w14:paraId="3F4DFEB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7BC65FB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2024年度财政拨款收入、支出决算总计均为 594.41万元，与年初预算相比，收、支总计各减少 -367.02万元，下降 -38.17%，变动原因：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；与上年决算相比，收、支总计各减少 -459.80万元，下降 -43.62%，变动原因：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67B39C2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52BF8B9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2024年度一般公共预算财政拨款支出决算 594.41万元。与年初预算 961.43万元相比，完成年初预算的 61.83%。其中：</w:t>
      </w:r>
    </w:p>
    <w:p w14:paraId="4734293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14:paraId="5283F8D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一般公共服务（类）决算数为 502.04万元，与年初预算相比减少 -367.02万元。其中：</w:t>
      </w:r>
    </w:p>
    <w:p w14:paraId="7CB8609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lang w:val="en-US" w:eastAsia="zh-CN"/>
        </w:rPr>
        <w:t>组织</w:t>
      </w:r>
      <w:r>
        <w:rPr>
          <w:rFonts w:ascii="仿宋_GB2312" w:hAnsi="仿宋_GB2312" w:eastAsia="仿宋_GB2312" w:cs="仿宋_GB2312"/>
          <w:color w:val="000000"/>
          <w:kern w:val="0"/>
          <w:sz w:val="27"/>
          <w:szCs w:val="27"/>
        </w:rPr>
        <w:t>事务（款）行政运行（项）。年初预算</w:t>
      </w:r>
      <w:r>
        <w:rPr>
          <w:rFonts w:hint="eastAsia" w:ascii="仿宋_GB2312" w:hAnsi="仿宋_GB2312" w:eastAsia="仿宋_GB2312" w:cs="仿宋_GB2312"/>
          <w:color w:val="000000"/>
          <w:kern w:val="0"/>
          <w:sz w:val="27"/>
          <w:szCs w:val="27"/>
          <w:lang w:val="en-US" w:eastAsia="zh-CN"/>
        </w:rPr>
        <w:t>768.9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494.04</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64.3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17D86AC3">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2．</w:t>
      </w:r>
      <w:r>
        <w:rPr>
          <w:rFonts w:hint="eastAsia" w:ascii="仿宋_GB2312" w:hAnsi="仿宋_GB2312" w:eastAsia="仿宋_GB2312" w:cs="仿宋_GB2312"/>
          <w:color w:val="000000"/>
          <w:kern w:val="0"/>
          <w:sz w:val="27"/>
          <w:szCs w:val="27"/>
          <w:lang w:val="en-US" w:eastAsia="zh-CN"/>
        </w:rPr>
        <w:t>组织</w:t>
      </w:r>
      <w:r>
        <w:rPr>
          <w:rFonts w:ascii="仿宋_GB2312" w:hAnsi="仿宋_GB2312" w:eastAsia="仿宋_GB2312" w:cs="仿宋_GB2312"/>
          <w:color w:val="000000"/>
          <w:kern w:val="0"/>
          <w:sz w:val="27"/>
          <w:szCs w:val="27"/>
        </w:rPr>
        <w:t>事务（款）</w:t>
      </w:r>
      <w:r>
        <w:rPr>
          <w:rFonts w:hint="eastAsia" w:ascii="仿宋_GB2312" w:hAnsi="仿宋_GB2312" w:eastAsia="仿宋_GB2312" w:cs="仿宋_GB2312"/>
          <w:color w:val="000000"/>
          <w:kern w:val="0"/>
          <w:sz w:val="27"/>
          <w:szCs w:val="27"/>
          <w:lang w:val="en-US" w:eastAsia="zh-CN"/>
        </w:rPr>
        <w:t>其他组织事务</w:t>
      </w:r>
      <w:r>
        <w:rPr>
          <w:rFonts w:ascii="仿宋_GB2312" w:hAnsi="仿宋_GB2312" w:eastAsia="仿宋_GB2312" w:cs="仿宋_GB2312"/>
          <w:color w:val="000000"/>
          <w:kern w:val="0"/>
          <w:sz w:val="27"/>
          <w:szCs w:val="27"/>
        </w:rPr>
        <w:t>（项）。</w:t>
      </w:r>
      <w:r>
        <w:rPr>
          <w:rFonts w:hint="eastAsia" w:ascii="仿宋_GB2312" w:hAnsi="仿宋_GB2312" w:eastAsia="仿宋_GB2312" w:cs="仿宋_GB2312"/>
          <w:color w:val="000000"/>
          <w:kern w:val="0"/>
          <w:sz w:val="27"/>
          <w:szCs w:val="27"/>
          <w:lang w:val="en-US" w:eastAsia="zh-CN"/>
        </w:rPr>
        <w:t>年初预算0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支出决算8</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此项为上级项目支出：第四批玉龙英才工程专项资金。</w:t>
      </w:r>
    </w:p>
    <w:p w14:paraId="39586E5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14:paraId="7EAC1846">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公共安全（类）决算数为 0万元，与年初预算相比增加（减少） 0万元。</w:t>
      </w:r>
      <w:r>
        <w:rPr>
          <w:rFonts w:hint="eastAsia" w:ascii="仿宋_GB2312" w:hAnsi="仿宋_GB2312" w:eastAsia="仿宋_GB2312" w:cs="仿宋_GB2312"/>
          <w:color w:val="000000"/>
          <w:kern w:val="0"/>
          <w:sz w:val="27"/>
          <w:szCs w:val="27"/>
          <w:lang w:val="en-US" w:eastAsia="zh-CN"/>
        </w:rPr>
        <w:t>我部门无此类支出。</w:t>
      </w:r>
    </w:p>
    <w:p w14:paraId="06F404B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14:paraId="0B4F96AD">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社会保障和就业支出（类）决算数为 46.67万元，与年初预算相比减少</w:t>
      </w:r>
      <w:r>
        <w:rPr>
          <w:rFonts w:hint="eastAsia" w:ascii="仿宋_GB2312" w:hAnsi="仿宋_GB2312" w:eastAsia="仿宋_GB2312" w:cs="仿宋_GB2312"/>
          <w:color w:val="000000"/>
          <w:kern w:val="0"/>
          <w:sz w:val="27"/>
          <w:szCs w:val="27"/>
          <w:lang w:val="en-US" w:eastAsia="zh-CN"/>
        </w:rPr>
        <w:t>-29.23</w:t>
      </w:r>
      <w:r>
        <w:rPr>
          <w:rFonts w:ascii="仿宋_GB2312" w:hAnsi="仿宋_GB2312" w:eastAsia="仿宋_GB2312" w:cs="仿宋_GB2312"/>
          <w:color w:val="000000"/>
          <w:kern w:val="0"/>
          <w:sz w:val="27"/>
          <w:szCs w:val="27"/>
        </w:rPr>
        <w:t>万元。其中：</w:t>
      </w:r>
    </w:p>
    <w:p w14:paraId="509A4A1E">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1．行政事业单位养老支出（款）行政单位离退休（项）。年初预算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13F98B0E">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2．行政事业单位养老支出（款）事业单位离退休（项）。年初预算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1885D910">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3．行政事业单位养老支出（款）机关事业单位基本养老保险缴费支出（项）。年初预算</w:t>
      </w:r>
      <w:r>
        <w:rPr>
          <w:rFonts w:hint="eastAsia" w:ascii="仿宋_GB2312" w:hAnsi="仿宋_GB2312" w:eastAsia="仿宋_GB2312" w:cs="仿宋_GB2312"/>
          <w:color w:val="000000"/>
          <w:kern w:val="0"/>
          <w:sz w:val="27"/>
          <w:szCs w:val="27"/>
          <w:lang w:val="en-US" w:eastAsia="zh-CN"/>
        </w:rPr>
        <w:t>50.6</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30.11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59.5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7E06BF4D">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4．行政事业单位养老支出（款）机关事业单位职业年金缴费支出（项）。年初预算</w:t>
      </w:r>
      <w:r>
        <w:rPr>
          <w:rFonts w:hint="eastAsia" w:ascii="仿宋_GB2312" w:hAnsi="仿宋_GB2312" w:eastAsia="仿宋_GB2312" w:cs="仿宋_GB2312"/>
          <w:color w:val="000000"/>
          <w:kern w:val="0"/>
          <w:sz w:val="27"/>
          <w:szCs w:val="27"/>
          <w:lang w:val="en-US" w:eastAsia="zh-CN"/>
        </w:rPr>
        <w:t>25.3</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15.83</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62.5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0482389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2E75F49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卫生健康支出（类）决算数为16.41万元，与年初预算相比减少</w:t>
      </w:r>
      <w:r>
        <w:rPr>
          <w:rFonts w:hint="eastAsia" w:ascii="仿宋_GB2312" w:hAnsi="仿宋_GB2312" w:eastAsia="仿宋_GB2312" w:cs="仿宋_GB2312"/>
          <w:color w:val="000000"/>
          <w:kern w:val="0"/>
          <w:sz w:val="27"/>
          <w:szCs w:val="27"/>
          <w:lang w:val="en-US" w:eastAsia="zh-CN"/>
        </w:rPr>
        <w:t>-7.35</w:t>
      </w:r>
      <w:r>
        <w:rPr>
          <w:rFonts w:ascii="仿宋_GB2312" w:hAnsi="仿宋_GB2312" w:eastAsia="仿宋_GB2312" w:cs="仿宋_GB2312"/>
          <w:color w:val="000000"/>
          <w:kern w:val="0"/>
          <w:sz w:val="27"/>
          <w:szCs w:val="27"/>
        </w:rPr>
        <w:t>万元。其中：</w:t>
      </w:r>
    </w:p>
    <w:p w14:paraId="170EB47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1．行政事业单位医疗（款）行政单位医疗（项）。年初预算</w:t>
      </w:r>
      <w:r>
        <w:rPr>
          <w:rFonts w:hint="eastAsia" w:ascii="仿宋_GB2312" w:hAnsi="仿宋_GB2312" w:eastAsia="仿宋_GB2312" w:cs="仿宋_GB2312"/>
          <w:color w:val="000000"/>
          <w:kern w:val="0"/>
          <w:sz w:val="27"/>
          <w:szCs w:val="27"/>
          <w:lang w:val="en-US" w:eastAsia="zh-CN"/>
        </w:rPr>
        <w:t>23.76</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16.41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69</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1F4A9B61">
      <w:pPr>
        <w:widowControl/>
        <w:spacing w:before="240" w:after="240"/>
        <w:ind w:firstLine="36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2．行政事业单位医疗（款）事业单位医疗（项）。年初预算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0BEF0513">
      <w:pPr>
        <w:widowControl/>
        <w:spacing w:before="240" w:after="240"/>
        <w:ind w:firstLine="36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3．行政事业单位医疗（款）公务员医疗补助（项）。年初预算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59A1619B">
      <w:pPr>
        <w:widowControl/>
        <w:spacing w:before="240" w:after="240"/>
        <w:ind w:firstLine="36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（五）</w:t>
      </w:r>
      <w:r>
        <w:rPr>
          <w:rFonts w:hint="eastAsia" w:ascii="kai_ti_gb2312" w:hAnsi="kai_ti_gb2312" w:cs="kai_ti_gb2312"/>
          <w:b/>
          <w:bCs/>
          <w:color w:val="000000"/>
          <w:kern w:val="0"/>
          <w:sz w:val="27"/>
          <w:szCs w:val="27"/>
          <w:lang w:val="en-US" w:eastAsia="zh-CN"/>
        </w:rPr>
        <w:t>农林水支出（</w:t>
      </w:r>
      <w:r>
        <w:rPr>
          <w:rFonts w:ascii="kai_ti_gb2312" w:hAnsi="kai_ti_gb2312" w:eastAsia="kai_ti_gb2312" w:cs="kai_ti_gb2312"/>
          <w:b/>
          <w:bCs/>
          <w:color w:val="000000"/>
          <w:kern w:val="0"/>
          <w:sz w:val="27"/>
          <w:szCs w:val="27"/>
        </w:rPr>
        <w:t>类）</w:t>
      </w:r>
    </w:p>
    <w:p w14:paraId="069111E0">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农林水支出</w:t>
      </w:r>
      <w:r>
        <w:rPr>
          <w:rFonts w:ascii="仿宋_GB2312" w:hAnsi="仿宋_GB2312" w:eastAsia="仿宋_GB2312" w:cs="仿宋_GB2312"/>
          <w:color w:val="000000"/>
          <w:kern w:val="0"/>
          <w:sz w:val="27"/>
          <w:szCs w:val="27"/>
        </w:rPr>
        <w:t>（类）决算数为</w:t>
      </w:r>
      <w:r>
        <w:rPr>
          <w:rFonts w:hint="eastAsia" w:ascii="仿宋_GB2312" w:hAnsi="仿宋_GB2312" w:eastAsia="仿宋_GB2312" w:cs="仿宋_GB2312"/>
          <w:color w:val="000000"/>
          <w:kern w:val="0"/>
          <w:sz w:val="27"/>
          <w:szCs w:val="27"/>
          <w:lang w:val="en-US" w:eastAsia="zh-CN"/>
        </w:rPr>
        <w:t> 1.96万元，与年初预算相比减少109.06万元。其中：</w:t>
      </w:r>
    </w:p>
    <w:p w14:paraId="139F6E1B">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1．农业农村（款）对高校毕业生到基层任职补助（项）。年初预算111.02万元，支出决算1.96万元，完成年初预算的0.01%。决算数与年初预算数的差异原因：此项支出为选调生到嘎查村任职补助经费，新一批选调生还未到村任职以及进行国情调研。</w:t>
      </w:r>
    </w:p>
    <w:p w14:paraId="6CE7624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六</w:t>
      </w:r>
      <w:r>
        <w:rPr>
          <w:rFonts w:ascii="kai_ti_gb2312" w:hAnsi="kai_ti_gb2312" w:eastAsia="kai_ti_gb2312" w:cs="kai_ti_gb2312"/>
          <w:b/>
          <w:bCs/>
          <w:color w:val="000000"/>
          <w:kern w:val="0"/>
          <w:sz w:val="27"/>
          <w:szCs w:val="27"/>
        </w:rPr>
        <w:t>）住房保障支出（类）</w:t>
      </w:r>
    </w:p>
    <w:p w14:paraId="6B5067B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住房保障支出（类）决算数为 27.33万元，与年初预算相比增加（减少） 0万元。其中：</w:t>
      </w:r>
    </w:p>
    <w:p w14:paraId="6B78A32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1．住房改革支出（款）住房公积金（项）。年初预算</w:t>
      </w:r>
      <w:r>
        <w:rPr>
          <w:rFonts w:hint="eastAsia" w:ascii="仿宋_GB2312" w:hAnsi="仿宋_GB2312" w:eastAsia="仿宋_GB2312" w:cs="仿宋_GB2312"/>
          <w:color w:val="000000"/>
          <w:kern w:val="0"/>
          <w:sz w:val="27"/>
          <w:szCs w:val="27"/>
          <w:lang w:val="en-US" w:eastAsia="zh-CN"/>
        </w:rPr>
        <w:t>40.79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27.33</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1B29CC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313F584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2024年度一般公共预算财政拨款基本支出决算 415.25万元，其中：</w:t>
      </w:r>
    </w:p>
    <w:p w14:paraId="6245FCA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 321.53万元</w:t>
      </w:r>
      <w:r>
        <w:rPr>
          <w:rFonts w:ascii="仿宋_GB2312" w:hAnsi="仿宋_GB2312" w:eastAsia="仿宋_GB2312" w:cs="仿宋_GB2312"/>
          <w:color w:val="000000"/>
          <w:kern w:val="0"/>
          <w:sz w:val="27"/>
          <w:szCs w:val="27"/>
        </w:rPr>
        <w:t>。主要包括：基本工资、津贴补贴、奖金、机关事业单位基本养老保险缴费、职业年金缴费、</w:t>
      </w:r>
      <w:r>
        <w:rPr>
          <w:rFonts w:hint="eastAsia" w:ascii="仿宋_GB2312" w:hAnsi="仿宋_GB2312" w:eastAsia="仿宋_GB2312" w:cs="仿宋_GB2312"/>
          <w:color w:val="000000"/>
          <w:kern w:val="0"/>
          <w:sz w:val="27"/>
          <w:szCs w:val="27"/>
          <w:lang w:val="en-US" w:eastAsia="zh-CN"/>
        </w:rPr>
        <w:t>其他社会保障缴费、</w:t>
      </w:r>
      <w:r>
        <w:rPr>
          <w:rFonts w:ascii="仿宋_GB2312" w:hAnsi="仿宋_GB2312" w:eastAsia="仿宋_GB2312" w:cs="仿宋_GB2312"/>
          <w:color w:val="000000"/>
          <w:kern w:val="0"/>
          <w:sz w:val="27"/>
          <w:szCs w:val="27"/>
        </w:rPr>
        <w:t>职工基本医疗保险缴费、住房公积金支出等。</w:t>
      </w:r>
    </w:p>
    <w:p w14:paraId="3611DAB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b/>
          <w:bCs/>
          <w:color w:val="000000"/>
          <w:kern w:val="0"/>
          <w:sz w:val="27"/>
          <w:szCs w:val="27"/>
        </w:rPr>
        <w:t>93.72万元</w:t>
      </w:r>
      <w:r>
        <w:rPr>
          <w:rFonts w:ascii="仿宋_GB2312" w:hAnsi="仿宋_GB2312" w:eastAsia="仿宋_GB2312" w:cs="仿宋_GB2312"/>
          <w:color w:val="000000"/>
          <w:kern w:val="0"/>
          <w:sz w:val="27"/>
          <w:szCs w:val="27"/>
        </w:rPr>
        <w:t>。主要包括：办公费、印刷费、差旅费、维修（护）费、公务用车运行维护费、其他交通费用支出等。</w:t>
      </w:r>
    </w:p>
    <w:p w14:paraId="7168A61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3C3A5BF0">
      <w:pPr>
        <w:widowControl/>
        <w:spacing w:before="240" w:after="240"/>
        <w:rPr>
          <w:rFonts w:hint="default"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2024年度一般公共预算财政拨款项目支出决算 179.16万元，其中：</w:t>
      </w:r>
    </w:p>
    <w:p w14:paraId="4128B1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一</w:t>
      </w:r>
      <w:r>
        <w:rPr>
          <w:rFonts w:ascii="仿宋_GB2312" w:hAnsi="仿宋_GB2312" w:eastAsia="仿宋_GB2312" w:cs="仿宋_GB2312"/>
          <w:b/>
          <w:bCs/>
          <w:color w:val="000000"/>
          <w:kern w:val="0"/>
          <w:sz w:val="27"/>
          <w:szCs w:val="27"/>
        </w:rPr>
        <w:t>）商品和服务支出 120.91万元</w:t>
      </w:r>
      <w:r>
        <w:rPr>
          <w:rFonts w:ascii="仿宋_GB2312" w:hAnsi="仿宋_GB2312" w:eastAsia="仿宋_GB2312" w:cs="仿宋_GB2312"/>
          <w:color w:val="000000"/>
          <w:kern w:val="0"/>
          <w:sz w:val="27"/>
          <w:szCs w:val="27"/>
        </w:rPr>
        <w:t>。主要包括：办公费、水费、电费、邮电费、取暖费、物业管理费、差旅费、培训费、公务用车运行维护费、其他商品和服务支出等。</w:t>
      </w:r>
    </w:p>
    <w:p w14:paraId="56BC7C0C">
      <w:pPr>
        <w:widowControl/>
        <w:spacing w:before="240" w:after="240"/>
        <w:rPr>
          <w:rFonts w:hint="default" w:ascii="Times New Roman" w:hAnsi="Times New Roman" w:eastAsia="Times New Roman" w:cs="Times New Roman"/>
          <w:kern w:val="0"/>
          <w:sz w:val="24"/>
          <w:lang w:val="en-US"/>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二</w:t>
      </w:r>
      <w:r>
        <w:rPr>
          <w:rFonts w:ascii="仿宋_GB2312" w:hAnsi="仿宋_GB2312" w:eastAsia="仿宋_GB2312" w:cs="仿宋_GB2312"/>
          <w:b/>
          <w:bCs/>
          <w:color w:val="000000"/>
          <w:kern w:val="0"/>
          <w:sz w:val="27"/>
          <w:szCs w:val="27"/>
        </w:rPr>
        <w:t>）</w:t>
      </w:r>
      <w:r>
        <w:rPr>
          <w:rFonts w:hint="eastAsia" w:ascii="仿宋_GB2312" w:hAnsi="仿宋_GB2312" w:eastAsia="仿宋_GB2312" w:cs="仿宋_GB2312"/>
          <w:b/>
          <w:bCs/>
          <w:color w:val="000000"/>
          <w:kern w:val="0"/>
          <w:sz w:val="27"/>
          <w:szCs w:val="27"/>
        </w:rPr>
        <w:t>对个人和家庭的补助</w:t>
      </w:r>
      <w:r>
        <w:rPr>
          <w:rFonts w:ascii="仿宋_GB2312" w:hAnsi="仿宋_GB2312" w:eastAsia="仿宋_GB2312" w:cs="仿宋_GB2312"/>
          <w:b/>
          <w:bCs/>
          <w:color w:val="000000"/>
          <w:kern w:val="0"/>
          <w:sz w:val="27"/>
          <w:szCs w:val="27"/>
        </w:rPr>
        <w:t>支</w:t>
      </w:r>
      <w:r>
        <w:rPr>
          <w:rFonts w:hint="eastAsia" w:ascii="仿宋_GB2312" w:hAnsi="仿宋_GB2312" w:eastAsia="仿宋_GB2312" w:cs="仿宋_GB2312"/>
          <w:b/>
          <w:bCs/>
          <w:color w:val="000000"/>
          <w:kern w:val="0"/>
          <w:sz w:val="27"/>
          <w:szCs w:val="27"/>
        </w:rPr>
        <w:t>出</w:t>
      </w:r>
      <w:r>
        <w:rPr>
          <w:rFonts w:hint="eastAsia" w:ascii="仿宋_GB2312" w:hAnsi="仿宋_GB2312" w:eastAsia="仿宋_GB2312" w:cs="仿宋_GB2312"/>
          <w:b/>
          <w:bCs/>
          <w:color w:val="000000"/>
          <w:kern w:val="0"/>
          <w:sz w:val="27"/>
          <w:szCs w:val="27"/>
          <w:lang w:val="en-US" w:eastAsia="zh-CN"/>
        </w:rPr>
        <w:t>58.25</w:t>
      </w:r>
      <w:r>
        <w:rPr>
          <w:rFonts w:hint="eastAsia" w:ascii="仿宋_GB2312" w:hAnsi="仿宋_GB2312" w:eastAsia="仿宋_GB2312" w:cs="仿宋_GB2312"/>
          <w:b/>
          <w:bCs/>
          <w:color w:val="000000"/>
          <w:kern w:val="0"/>
          <w:sz w:val="27"/>
          <w:szCs w:val="27"/>
        </w:rPr>
        <w:t>万</w:t>
      </w:r>
      <w:r>
        <w:rPr>
          <w:rFonts w:ascii="仿宋_GB2312" w:hAnsi="仿宋_GB2312" w:eastAsia="仿宋_GB2312" w:cs="仿宋_GB2312"/>
          <w:b/>
          <w:bCs/>
          <w:color w:val="000000"/>
          <w:kern w:val="0"/>
          <w:sz w:val="27"/>
          <w:szCs w:val="27"/>
        </w:rPr>
        <w:t>元。</w:t>
      </w:r>
      <w:r>
        <w:rPr>
          <w:rFonts w:hint="eastAsia" w:ascii="仿宋_GB2312" w:hAnsi="仿宋_GB2312" w:eastAsia="仿宋_GB2312" w:cs="仿宋_GB2312"/>
          <w:color w:val="000000"/>
          <w:kern w:val="0"/>
          <w:sz w:val="27"/>
          <w:szCs w:val="27"/>
          <w:lang w:val="en-US" w:eastAsia="zh-CN"/>
        </w:rPr>
        <w:t>主要包括：生活补助、奖励金支出等</w:t>
      </w:r>
    </w:p>
    <w:p w14:paraId="1B4DCAE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A32903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67E7F3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2024年度财政拨款“三公”经费全年预算 6.50万元，支出决算 2.73万元，完成预算的 42.02%。其中：因公出国（境）费全年预算 0万元，支出决算 0万元，完成预算的 0%；公务用车购置及运行维护费全年预算 6.50万元，支出决算 2.73万元，完成预算的 42.02%；公务接待费全年预算 0万元，支出决算 0万元，完成预算的 0%。2024年度一般公共预算财政拨款“三公”经费全年预算 6.50万元，支出决算 2.73万元，与预算差异原因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过紧日子经费压缩三公经费支出</w:t>
      </w:r>
      <w:r>
        <w:rPr>
          <w:rFonts w:ascii="仿宋_GB2312" w:hAnsi="仿宋_GB2312" w:eastAsia="仿宋_GB2312" w:cs="仿宋_GB2312"/>
          <w:color w:val="000000"/>
          <w:kern w:val="0"/>
          <w:sz w:val="27"/>
          <w:szCs w:val="27"/>
        </w:rPr>
        <w:t>。</w:t>
      </w:r>
    </w:p>
    <w:p w14:paraId="385AAB0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0BD5F1AD">
      <w:pPr>
        <w:widowControl/>
        <w:spacing w:before="240" w:after="240"/>
        <w:ind w:firstLine="44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2024年度财政拨款“三公”经费支出 2.73万元。因公出国（境）费支出 0万元，占 0%；公务用车购置及运行维护费支出 2.73万元，占 100.00%；公务接待费支出 0万元，占 0%。其中：</w:t>
      </w:r>
    </w:p>
    <w:p w14:paraId="75C44168">
      <w:pPr>
        <w:widowControl/>
        <w:spacing w:before="240" w:after="240"/>
        <w:ind w:firstLine="44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1.因公出国（境）费支出 0万元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我部门无因公出国（境）支出</w:t>
      </w:r>
      <w:r>
        <w:rPr>
          <w:rFonts w:ascii="仿宋_GB2312" w:hAnsi="仿宋_GB2312" w:eastAsia="仿宋_GB2312" w:cs="仿宋_GB2312"/>
          <w:color w:val="000000"/>
          <w:kern w:val="0"/>
          <w:sz w:val="27"/>
          <w:szCs w:val="27"/>
        </w:rPr>
        <w:t>。</w:t>
      </w:r>
    </w:p>
    <w:p w14:paraId="2573C9D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2.公务用车购置及运行维护费支出 2.73万元。其中：</w:t>
      </w:r>
    </w:p>
    <w:p w14:paraId="77E0B1F5">
      <w:pPr>
        <w:widowControl/>
        <w:spacing w:before="240" w:after="240"/>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color w:val="000000"/>
          <w:kern w:val="0"/>
          <w:sz w:val="27"/>
          <w:szCs w:val="27"/>
        </w:rPr>
        <w:t>（1）公务用车购置支出 0万元。</w:t>
      </w:r>
      <w:r>
        <w:rPr>
          <w:rFonts w:hint="eastAsia" w:ascii="仿宋_GB2312" w:hAnsi="仿宋_GB2312" w:eastAsia="仿宋_GB2312" w:cs="仿宋_GB2312"/>
          <w:color w:val="000000"/>
          <w:kern w:val="0"/>
          <w:sz w:val="27"/>
          <w:szCs w:val="27"/>
          <w:lang w:val="en-US" w:eastAsia="zh-CN"/>
        </w:rPr>
        <w:t>我部门</w:t>
      </w:r>
      <w:r>
        <w:rPr>
          <w:rFonts w:ascii="仿宋_GB2312" w:hAnsi="仿宋_GB2312" w:eastAsia="仿宋_GB2312" w:cs="仿宋_GB2312"/>
          <w:color w:val="000000"/>
          <w:kern w:val="0"/>
          <w:sz w:val="27"/>
          <w:szCs w:val="27"/>
        </w:rPr>
        <w:t>本年度</w:t>
      </w:r>
      <w:r>
        <w:rPr>
          <w:rFonts w:hint="eastAsia" w:ascii="仿宋_GB2312" w:hAnsi="仿宋_GB2312" w:eastAsia="仿宋_GB2312" w:cs="仿宋_GB2312"/>
          <w:color w:val="000000"/>
          <w:kern w:val="0"/>
          <w:sz w:val="27"/>
          <w:szCs w:val="27"/>
          <w:lang w:val="en-US" w:eastAsia="zh-CN"/>
        </w:rPr>
        <w:t>未</w:t>
      </w:r>
      <w:r>
        <w:rPr>
          <w:rFonts w:ascii="仿宋_GB2312" w:hAnsi="仿宋_GB2312" w:eastAsia="仿宋_GB2312" w:cs="仿宋_GB2312"/>
          <w:color w:val="000000"/>
          <w:kern w:val="0"/>
          <w:sz w:val="27"/>
          <w:szCs w:val="27"/>
        </w:rPr>
        <w:t>购置公务用车</w:t>
      </w:r>
      <w:r>
        <w:rPr>
          <w:rFonts w:hint="eastAsia" w:ascii="仿宋_GB2312" w:hAnsi="仿宋_GB2312" w:eastAsia="仿宋_GB2312" w:cs="仿宋_GB2312"/>
          <w:color w:val="000000"/>
          <w:kern w:val="0"/>
          <w:sz w:val="27"/>
          <w:szCs w:val="27"/>
          <w:lang w:eastAsia="zh-CN"/>
        </w:rPr>
        <w:t>。</w:t>
      </w:r>
    </w:p>
    <w:p w14:paraId="348FF8B4">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2）公务用车运行维护费支出 2.73万元。公务用车运行维护费主要用于按规定保留的公务用车的燃料费、维修费、过桥过路费、保险费等支出。截至2024年12月31日，使用财政拨款开支的公务用车保有量为2 辆。与上年决算相比，减少 -0.02万元，下降 -0.71%，变动原因：</w:t>
      </w:r>
      <w:r>
        <w:rPr>
          <w:rFonts w:hint="eastAsia" w:ascii="仿宋_GB2312" w:hAnsi="仿宋_GB2312" w:eastAsia="仿宋_GB2312" w:cs="仿宋_GB2312"/>
          <w:color w:val="000000"/>
          <w:kern w:val="0"/>
          <w:sz w:val="27"/>
          <w:szCs w:val="27"/>
          <w:lang w:val="en-US" w:eastAsia="zh-CN"/>
        </w:rPr>
        <w:t>过紧日子经费压缩三公经费支出</w:t>
      </w:r>
      <w:r>
        <w:rPr>
          <w:rFonts w:ascii="仿宋_GB2312" w:hAnsi="仿宋_GB2312" w:eastAsia="仿宋_GB2312" w:cs="仿宋_GB2312"/>
          <w:color w:val="000000"/>
          <w:kern w:val="0"/>
          <w:sz w:val="27"/>
          <w:szCs w:val="27"/>
        </w:rPr>
        <w:t>。</w:t>
      </w:r>
    </w:p>
    <w:p w14:paraId="13145D3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 0万元。</w:t>
      </w:r>
      <w:r>
        <w:rPr>
          <w:rFonts w:hint="eastAsia" w:ascii="仿宋_GB2312" w:hAnsi="仿宋_GB2312" w:eastAsia="仿宋_GB2312" w:cs="仿宋_GB2312"/>
          <w:color w:val="000000"/>
          <w:kern w:val="0"/>
          <w:sz w:val="27"/>
          <w:szCs w:val="27"/>
          <w:lang w:val="en-US" w:eastAsia="zh-CN"/>
        </w:rPr>
        <w:t>我部门无公务接待支出</w:t>
      </w:r>
      <w:r>
        <w:rPr>
          <w:rFonts w:ascii="仿宋_GB2312" w:hAnsi="仿宋_GB2312" w:eastAsia="仿宋_GB2312" w:cs="仿宋_GB2312"/>
          <w:color w:val="0E00FE"/>
          <w:kern w:val="0"/>
          <w:sz w:val="27"/>
          <w:szCs w:val="27"/>
        </w:rPr>
        <w:t xml:space="preserve">    </w:t>
      </w:r>
    </w:p>
    <w:p w14:paraId="63E625DC">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5A303806">
      <w:pPr>
        <w:widowControl/>
        <w:spacing w:before="240" w:after="240"/>
        <w:ind w:firstLine="393"/>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2024年度政府性基金预算财政拨款支出决算 0万元。与上年决算相比，增加（减少） 0万元，增长（下降） 0%，变动原因：本年无政府性基金预算财政拨款收、支、余。</w:t>
      </w:r>
    </w:p>
    <w:p w14:paraId="0FE9D00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15F23332">
      <w:pPr>
        <w:widowControl/>
        <w:spacing w:before="240" w:after="240"/>
        <w:ind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2024年度国有资本经营预算财政拨款支出决算 0万元。与上年决算相比，增加（减少） 0万元，增长（下降） 0%，变动原因：本年无国有资本经营预算财政拨款收、支、余。</w:t>
      </w:r>
    </w:p>
    <w:p w14:paraId="7192CD43">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5FFA41C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2024年度公用经费支出决算 93.72万元，与上年决算相比，减少 -282.15万元，下降 -75.07%，变动原因：</w:t>
      </w:r>
      <w:r>
        <w:rPr>
          <w:rFonts w:hint="eastAsia" w:ascii="仿宋_GB2312" w:hAnsi="仿宋_GB2312" w:eastAsia="仿宋_GB2312" w:cs="仿宋_GB2312"/>
          <w:color w:val="000000"/>
          <w:kern w:val="0"/>
          <w:sz w:val="27"/>
          <w:szCs w:val="27"/>
          <w:lang w:val="en-US" w:eastAsia="zh-CN"/>
        </w:rPr>
        <w:t>响应政府过紧日子号召，减少经费支出</w:t>
      </w:r>
      <w:r>
        <w:rPr>
          <w:rFonts w:ascii="仿宋_GB2312" w:hAnsi="仿宋_GB2312" w:eastAsia="仿宋_GB2312" w:cs="仿宋_GB2312"/>
          <w:color w:val="000000"/>
          <w:kern w:val="0"/>
          <w:sz w:val="27"/>
          <w:szCs w:val="27"/>
        </w:rPr>
        <w:t>。其中，机关运行经费支出决算 93.72万元。比上年决算相比，减少-282.15万元，下降 -75.07%，变动原因：</w:t>
      </w:r>
      <w:r>
        <w:rPr>
          <w:rFonts w:hint="eastAsia" w:ascii="仿宋_GB2312" w:hAnsi="仿宋_GB2312" w:eastAsia="仿宋_GB2312" w:cs="仿宋_GB2312"/>
          <w:color w:val="000000"/>
          <w:kern w:val="0"/>
          <w:sz w:val="27"/>
          <w:szCs w:val="27"/>
          <w:lang w:val="en-US" w:eastAsia="zh-CN"/>
        </w:rPr>
        <w:t>响应政府过紧日子号召，减少经费支出</w:t>
      </w:r>
      <w:r>
        <w:rPr>
          <w:rFonts w:ascii="仿宋_GB2312" w:hAnsi="仿宋_GB2312" w:eastAsia="仿宋_GB2312" w:cs="仿宋_GB2312"/>
          <w:color w:val="000000"/>
          <w:kern w:val="0"/>
          <w:sz w:val="27"/>
          <w:szCs w:val="27"/>
        </w:rPr>
        <w:t>。</w:t>
      </w:r>
    </w:p>
    <w:p w14:paraId="4696E8D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十二、政府采购支出决算情况说明</w:t>
      </w:r>
    </w:p>
    <w:p w14:paraId="5260F33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2024年度政府采购支出总额 0万元，其中：政府采购货物支出 0万元、政府采购工程支出 0万元、政府采购服务支出 0万元。政府采购授予中小企业合同金额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%，其中：授予小微企业合同金额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w:t>
      </w:r>
    </w:p>
    <w:p w14:paraId="59CAC32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0C12B16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截至2024年12月31日，本部门（单位）共有车辆 2辆，其中：副部（省）级及以上领导用车0 辆、主要负责人用车 0辆、机要通信用车 2辆、应急保障用车 0辆、执法执勤用车 0辆、特种专业技术用车 0辆、离退休干部服务用车 0辆，其他用车 0辆；单价100万元（含）以上的设备（不含车辆） 0台（套）。</w:t>
      </w:r>
    </w:p>
    <w:p w14:paraId="6752346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185E802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3ADA7299">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中共赤峰市松山区委员会组织部根据预算绩效管理要求组织对2024年一般公共预算项目支出全面开展绩效自评，其中一级项目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w:t>
      </w:r>
      <w:r>
        <w:rPr>
          <w:rFonts w:hint="eastAsia" w:ascii="仿宋_GB2312" w:hAnsi="仿宋_GB2312" w:eastAsia="仿宋_GB2312" w:cs="仿宋_GB2312"/>
          <w:color w:val="000000"/>
          <w:kern w:val="0"/>
          <w:sz w:val="27"/>
          <w:szCs w:val="27"/>
          <w:lang w:val="en-US" w:eastAsia="zh-CN"/>
        </w:rPr>
        <w:t>,</w:t>
      </w:r>
      <w:r>
        <w:rPr>
          <w:rFonts w:ascii="仿宋_GB2312" w:hAnsi="仿宋_GB2312" w:eastAsia="仿宋_GB2312" w:cs="仿宋_GB2312"/>
          <w:color w:val="000000"/>
          <w:kern w:val="0"/>
          <w:sz w:val="27"/>
          <w:szCs w:val="27"/>
        </w:rPr>
        <w:t>共涉及资金</w:t>
      </w:r>
      <w:r>
        <w:rPr>
          <w:rFonts w:hint="eastAsia" w:ascii="仿宋_GB2312" w:hAnsi="仿宋_GB2312" w:eastAsia="仿宋_GB2312" w:cs="仿宋_GB2312"/>
          <w:color w:val="000000"/>
          <w:kern w:val="0"/>
          <w:sz w:val="27"/>
          <w:szCs w:val="27"/>
          <w:lang w:val="en-US" w:eastAsia="zh-CN"/>
        </w:rPr>
        <w:t>148.87</w:t>
      </w:r>
      <w:r>
        <w:rPr>
          <w:rFonts w:ascii="仿宋_GB2312" w:hAnsi="仿宋_GB2312" w:eastAsia="仿宋_GB2312" w:cs="仿宋_GB2312"/>
          <w:color w:val="000000"/>
          <w:kern w:val="0"/>
          <w:sz w:val="27"/>
          <w:szCs w:val="27"/>
        </w:rPr>
        <w:t>万元，占一般公共预算项目支出总额的100%；政府性基金预算项目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个，其中，一级项目 </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 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万元，占应纳入绩效自评的政府性基金预算项目支出总额的100%；</w:t>
      </w:r>
    </w:p>
    <w:p w14:paraId="6546D6E6">
      <w:pPr>
        <w:spacing w:beforeLines="0" w:afterLines="0" w:line="560" w:lineRule="exact"/>
        <w:ind w:firstLine="640"/>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组织对“</w:t>
      </w:r>
      <w:r>
        <w:rPr>
          <w:rFonts w:hint="eastAsia" w:ascii="仿宋_GB2312" w:hAnsi="仿宋_GB2312" w:eastAsia="仿宋_GB2312" w:cs="仿宋_GB2312"/>
          <w:color w:val="000000"/>
          <w:kern w:val="0"/>
          <w:sz w:val="27"/>
          <w:szCs w:val="27"/>
          <w:lang w:val="en-US" w:eastAsia="zh-CN"/>
        </w:rPr>
        <w:t>2023年玉龙英才工程奖补资金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rPr>
        <w:t>离退休干部特需经费</w:t>
      </w:r>
      <w:r>
        <w:rPr>
          <w:rFonts w:ascii="仿宋_GB2312" w:hAnsi="仿宋_GB2312" w:eastAsia="仿宋_GB2312" w:cs="仿宋_GB2312"/>
          <w:color w:val="000000"/>
          <w:kern w:val="0"/>
          <w:sz w:val="27"/>
          <w:szCs w:val="27"/>
        </w:rPr>
        <w:t>项目”等 </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个项目开展了部门评价，涉及一般公共预算支出</w:t>
      </w:r>
      <w:r>
        <w:rPr>
          <w:rFonts w:hint="eastAsia" w:ascii="仿宋_GB2312" w:hAnsi="仿宋_GB2312" w:eastAsia="仿宋_GB2312" w:cs="仿宋_GB2312"/>
          <w:color w:val="000000"/>
          <w:kern w:val="0"/>
          <w:sz w:val="27"/>
          <w:szCs w:val="27"/>
          <w:lang w:val="en-US" w:eastAsia="zh-CN"/>
        </w:rPr>
        <w:t>148.87</w:t>
      </w:r>
      <w:r>
        <w:rPr>
          <w:rFonts w:ascii="仿宋_GB2312" w:hAnsi="仿宋_GB2312" w:eastAsia="仿宋_GB2312" w:cs="仿宋_GB2312"/>
          <w:color w:val="000000"/>
          <w:kern w:val="0"/>
          <w:sz w:val="27"/>
          <w:szCs w:val="27"/>
        </w:rPr>
        <w:t>万元，政府性基金支出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万元。其中，对“</w:t>
      </w:r>
      <w:r>
        <w:rPr>
          <w:rFonts w:hint="eastAsia" w:ascii="仿宋_GB2312" w:hAnsi="仿宋_GB2312" w:eastAsia="仿宋_GB2312" w:cs="仿宋_GB2312"/>
          <w:color w:val="000000"/>
          <w:kern w:val="0"/>
          <w:sz w:val="27"/>
          <w:szCs w:val="27"/>
          <w:lang w:val="en-US" w:eastAsia="zh-CN"/>
        </w:rPr>
        <w:t>2023年玉龙英才工程奖补资金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rPr>
        <w:t>离退休干部特需经费</w:t>
      </w:r>
      <w:r>
        <w:rPr>
          <w:rFonts w:ascii="仿宋_GB2312" w:hAnsi="仿宋_GB2312" w:eastAsia="仿宋_GB2312" w:cs="仿宋_GB2312"/>
          <w:color w:val="000000"/>
          <w:kern w:val="0"/>
          <w:sz w:val="27"/>
          <w:szCs w:val="27"/>
        </w:rPr>
        <w:t>项目”等 </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个项目等分别委托相关第三方机构开展绩效评价。</w:t>
      </w:r>
      <w:r>
        <w:rPr>
          <w:rFonts w:hint="eastAsia" w:ascii="仿宋_GB2312" w:hAnsi="仿宋_GB2312" w:eastAsia="仿宋_GB2312" w:cs="仿宋_GB2312"/>
          <w:kern w:val="0"/>
          <w:sz w:val="27"/>
          <w:szCs w:val="27"/>
          <w:lang w:eastAsia="zh-CN"/>
        </w:rPr>
        <w:t>从评价情况看，以上项目多数项目实现预期绩效目标，社会效益、</w:t>
      </w:r>
      <w:r>
        <w:rPr>
          <w:rFonts w:hint="eastAsia" w:ascii="仿宋_GB2312" w:hAnsi="仿宋_GB2312" w:eastAsia="仿宋_GB2312" w:cs="仿宋_GB2312"/>
          <w:kern w:val="0"/>
          <w:sz w:val="27"/>
          <w:szCs w:val="27"/>
          <w:lang w:val="en-US" w:eastAsia="zh-CN"/>
        </w:rPr>
        <w:t>生态效益以及可持续影响指标</w:t>
      </w:r>
      <w:r>
        <w:rPr>
          <w:rFonts w:hint="eastAsia" w:ascii="仿宋_GB2312" w:hAnsi="仿宋_GB2312" w:eastAsia="仿宋_GB2312" w:cs="仿宋_GB2312"/>
          <w:kern w:val="0"/>
          <w:sz w:val="27"/>
          <w:szCs w:val="27"/>
          <w:lang w:eastAsia="zh-CN"/>
        </w:rPr>
        <w:t>显著提升，但部分项目存在产出</w:t>
      </w:r>
      <w:r>
        <w:rPr>
          <w:rFonts w:hint="eastAsia" w:ascii="仿宋_GB2312" w:hAnsi="仿宋_GB2312" w:eastAsia="仿宋_GB2312" w:cs="仿宋_GB2312"/>
          <w:kern w:val="0"/>
          <w:sz w:val="27"/>
          <w:szCs w:val="27"/>
          <w:lang w:val="en-US" w:eastAsia="zh-CN"/>
        </w:rPr>
        <w:t>指标未完成</w:t>
      </w:r>
      <w:r>
        <w:rPr>
          <w:rFonts w:hint="eastAsia" w:ascii="仿宋_GB2312" w:hAnsi="仿宋_GB2312" w:eastAsia="仿宋_GB2312" w:cs="仿宋_GB2312"/>
          <w:kern w:val="0"/>
          <w:sz w:val="27"/>
          <w:szCs w:val="27"/>
          <w:lang w:eastAsia="zh-CN"/>
        </w:rPr>
        <w:t>问题。</w:t>
      </w:r>
    </w:p>
    <w:p w14:paraId="1947342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（二）部门决算中项目绩效自评结果。</w:t>
      </w:r>
    </w:p>
    <w:p w14:paraId="36C1318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中共赤峰市松山区委员会组织部 2024年度在决算中反映</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个项目的绩效自评结果。</w:t>
      </w:r>
    </w:p>
    <w:p w14:paraId="516A0C09">
      <w:pPr>
        <w:widowControl/>
        <w:spacing w:before="240" w:after="240"/>
        <w:ind w:firstLine="540" w:firstLineChars="20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kern w:val="0"/>
          <w:sz w:val="27"/>
          <w:szCs w:val="27"/>
          <w:lang w:val="en-US" w:eastAsia="zh-CN"/>
        </w:rPr>
        <w:t>023年玉龙英才工程奖补资金项目自评综述：根据年初设定的绩效目标，项目自评得分100分。全年预算数为8万元，执行数为8万元，完成预算的100%。项目绩效目标完成情况：截至2024年底，该项目资金支出8万元，完成对第四批玉龙英才优秀工程团队评比以及第四批玉龙英才优秀人才评比，通过该项目实施，对团队和个人开展自主选题、学术交流、学习培训和文献出版等工作提供了支持和帮助。发现的</w:t>
      </w:r>
      <w:r>
        <w:rPr>
          <w:rFonts w:ascii="仿宋_GB2312" w:hAnsi="仿宋_GB2312" w:eastAsia="仿宋_GB2312" w:cs="仿宋_GB2312"/>
          <w:color w:val="000000"/>
          <w:kern w:val="0"/>
          <w:sz w:val="27"/>
          <w:szCs w:val="27"/>
        </w:rPr>
        <w:t>主要问题及原因：</w:t>
      </w:r>
      <w:r>
        <w:rPr>
          <w:rFonts w:hint="eastAsia" w:ascii="仿宋_GB2312" w:hAnsi="仿宋_GB2312" w:eastAsia="仿宋_GB2312" w:cs="仿宋_GB2312"/>
          <w:color w:val="000000"/>
          <w:kern w:val="0"/>
          <w:sz w:val="27"/>
          <w:szCs w:val="27"/>
        </w:rPr>
        <w:t>截至2024年底，该项目各项指标均已完成，达到预期效益，不存在偏差情况。</w:t>
      </w:r>
    </w:p>
    <w:p w14:paraId="45AE3D28">
      <w:pPr>
        <w:widowControl/>
        <w:numPr>
          <w:ilvl w:val="0"/>
          <w:numId w:val="0"/>
        </w:numPr>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2.离退休干部特需经费</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100分。全年预算数为12万元，执行数为12万元，完成预算的100%。项目绩效目标完成情况：截至2024年底，该项目资金支出12万元，完成了对离退休老干部每月开展两次固定文体活动以及庆祝重大节日活动的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通过该项目实施，丰富了离退休老干部业余文化生活，保证了离退休老干部身心健康的发展。发现的</w:t>
      </w:r>
      <w:r>
        <w:rPr>
          <w:rFonts w:ascii="仿宋_GB2312" w:hAnsi="仿宋_GB2312" w:eastAsia="仿宋_GB2312" w:cs="仿宋_GB2312"/>
          <w:color w:val="000000"/>
          <w:kern w:val="0"/>
          <w:sz w:val="27"/>
          <w:szCs w:val="27"/>
        </w:rPr>
        <w:t>主要问题及原因：</w:t>
      </w:r>
      <w:r>
        <w:rPr>
          <w:rFonts w:hint="eastAsia" w:ascii="仿宋_GB2312" w:hAnsi="仿宋_GB2312" w:eastAsia="仿宋_GB2312" w:cs="仿宋_GB2312"/>
          <w:color w:val="000000"/>
          <w:kern w:val="0"/>
          <w:sz w:val="27"/>
          <w:szCs w:val="27"/>
        </w:rPr>
        <w:t>截至2024年底，该项目各项指标均已完成，达到预期效益，不存在偏差情况。</w:t>
      </w:r>
    </w:p>
    <w:p w14:paraId="77D38F85">
      <w:pPr>
        <w:widowControl/>
        <w:numPr>
          <w:ilvl w:val="0"/>
          <w:numId w:val="0"/>
        </w:numPr>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追加年度考核评优奖金</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100分。全年预算数为16.35万元，执行数为16.35万元，完成预算的100%。项目绩效目标完成情况：截至2024年底，该项目资金支出16.35万元，完成对松山公安分局2022年评优奖金发放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通过该项目实施，激励广大干部工作积极性。发现的主要问题及原因：截至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p>
    <w:p w14:paraId="04223132">
      <w:pPr>
        <w:widowControl/>
        <w:numPr>
          <w:ilvl w:val="0"/>
          <w:numId w:val="0"/>
        </w:numPr>
        <w:spacing w:before="240" w:after="240"/>
        <w:ind w:firstLine="540" w:firstLineChars="200"/>
        <w:rPr>
          <w:rFonts w:ascii="仿宋_GB2312" w:hAnsi="仿宋_GB2312" w:eastAsia="仿宋_GB2312" w:cs="仿宋_GB2312"/>
          <w:color w:val="0E00FE"/>
          <w:kern w:val="0"/>
          <w:sz w:val="27"/>
          <w:szCs w:val="27"/>
        </w:rPr>
      </w:pPr>
      <w:r>
        <w:rPr>
          <w:rFonts w:hint="eastAsia" w:ascii="仿宋_GB2312" w:hAnsi="仿宋_GB2312" w:eastAsia="仿宋_GB2312" w:cs="仿宋_GB2312"/>
          <w:kern w:val="0"/>
          <w:sz w:val="27"/>
          <w:szCs w:val="27"/>
          <w:lang w:val="en-US" w:eastAsia="zh-CN"/>
        </w:rPr>
        <w:t>4.</w:t>
      </w:r>
      <w:r>
        <w:rPr>
          <w:rFonts w:hint="default" w:ascii="仿宋_GB2312" w:hAnsi="仿宋_GB2312" w:eastAsia="仿宋_GB2312" w:cs="仿宋_GB2312"/>
          <w:kern w:val="0"/>
          <w:sz w:val="27"/>
          <w:szCs w:val="27"/>
          <w:lang w:val="en-US" w:eastAsia="zh-CN"/>
        </w:rPr>
        <w:t>人才发展专项资金</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根据年初设定的绩效目标，项目自评得分95分。全年预算数为1.3万元，执行数为1.3万元，完成预算的100%。项目绩效目标完成情况：截至2024年底，该项目资金支出1.3万元，完成对新引进人才体检工作的预期目标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通过该项目实施，填补了高技术人才缺口，引入了新思维和创新能力，优化了团队结构。发现的主要问题及原因：截至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r>
        <w:rPr>
          <w:rFonts w:ascii="仿宋_GB2312" w:hAnsi="仿宋_GB2312" w:eastAsia="仿宋_GB2312" w:cs="仿宋_GB2312"/>
          <w:color w:val="0E00FE"/>
          <w:kern w:val="0"/>
          <w:sz w:val="27"/>
          <w:szCs w:val="27"/>
        </w:rPr>
        <w:t xml:space="preserve">  </w:t>
      </w:r>
    </w:p>
    <w:p w14:paraId="587DEDE0">
      <w:pPr>
        <w:widowControl/>
        <w:numPr>
          <w:ilvl w:val="0"/>
          <w:numId w:val="0"/>
        </w:numPr>
        <w:spacing w:before="240" w:after="240"/>
        <w:ind w:firstLine="540" w:firstLineChars="200"/>
        <w:rPr>
          <w:rFonts w:ascii="仿宋_GB2312" w:hAnsi="仿宋_GB2312" w:eastAsia="仿宋_GB2312" w:cs="仿宋_GB2312"/>
          <w:color w:val="0E00FE"/>
          <w:kern w:val="0"/>
          <w:sz w:val="27"/>
          <w:szCs w:val="27"/>
        </w:rPr>
      </w:pPr>
      <w:r>
        <w:rPr>
          <w:rFonts w:hint="eastAsia"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5.</w:t>
      </w: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00000"/>
          <w:kern w:val="0"/>
          <w:sz w:val="27"/>
          <w:szCs w:val="27"/>
        </w:rPr>
        <w:t>党员干部、公务员教育培训费</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根据年初设定的绩效目标，项目自评得分99.8分。全年预算数为63.63万元，执行数为63.63万元，完成预算的100%。项目绩效目标完成情况：截至2024年底，该项目资金支出63.63万元，完成对党员干部教育培训的预期目标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通过该项目实施，使党员干部思想行动高度统一，党性教育更加扎实，专业化能力更加精准。发现的主要问题及原因：截至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r>
        <w:rPr>
          <w:rFonts w:ascii="仿宋_GB2312" w:hAnsi="仿宋_GB2312" w:eastAsia="仿宋_GB2312" w:cs="仿宋_GB2312"/>
          <w:color w:val="0E00FE"/>
          <w:kern w:val="0"/>
          <w:sz w:val="27"/>
          <w:szCs w:val="27"/>
        </w:rPr>
        <w:t> </w:t>
      </w:r>
    </w:p>
    <w:p w14:paraId="21F5ED9C">
      <w:pPr>
        <w:widowControl/>
        <w:numPr>
          <w:ilvl w:val="0"/>
          <w:numId w:val="0"/>
        </w:numPr>
        <w:spacing w:before="240" w:after="240"/>
        <w:ind w:firstLine="540" w:firstLineChars="200"/>
        <w:rPr>
          <w:rFonts w:ascii="kai_ti_gb2312" w:hAnsi="kai_ti_gb2312" w:eastAsia="kai_ti_gb2312" w:cs="kai_ti_gb2312"/>
          <w:b/>
          <w:bCs/>
          <w:kern w:val="0"/>
          <w:sz w:val="27"/>
          <w:szCs w:val="27"/>
        </w:rPr>
      </w:pP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kern w:val="0"/>
          <w:sz w:val="24"/>
        </w:rPr>
        <w:object>
          <v:shape id="_x0000_i1025" o:spt="75" type="#_x0000_t75" style="height:656.55pt;width:489.2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r>
        <w:rPr>
          <w:rFonts w:ascii="kai_ti_gb2312" w:hAnsi="kai_ti_gb2312" w:eastAsia="kai_ti_gb2312" w:cs="kai_ti_gb2312"/>
          <w:b/>
          <w:bCs/>
          <w:kern w:val="0"/>
          <w:sz w:val="27"/>
          <w:szCs w:val="27"/>
        </w:rPr>
        <w:t xml:space="preserve">    </w:t>
      </w:r>
      <w:r>
        <w:rPr>
          <w:rFonts w:ascii="kai_ti_gb2312" w:hAnsi="kai_ti_gb2312" w:eastAsia="kai_ti_gb2312" w:cs="kai_ti_gb2312"/>
          <w:b/>
          <w:bCs/>
          <w:kern w:val="0"/>
          <w:sz w:val="27"/>
          <w:szCs w:val="27"/>
        </w:rPr>
        <w:object>
          <v:shape id="_x0000_i1026" o:spt="75" type="#_x0000_t75" style="height:655.45pt;width:485.55pt;" o:ole="t" filled="f" o:preferrelative="t" stroked="f" coordsize="21600,21600">
            <v:path/>
            <v:fill on="f" focussize="0,0"/>
            <v:stroke on="f"/>
            <v:imagedata r:id="rId11" o:title=""/>
            <o:lock v:ext="edit" aspectratio="f"/>
            <w10:wrap type="none"/>
            <w10:anchorlock/>
          </v:shape>
          <o:OLEObject Type="Embed" ProgID="Excel.Sheet.12" ShapeID="_x0000_i1026" DrawAspect="Content" ObjectID="_1468075726" r:id="rId10">
            <o:LockedField>false</o:LockedField>
          </o:OLEObject>
        </w:object>
      </w:r>
      <w:r>
        <w:rPr>
          <w:rFonts w:ascii="kai_ti_gb2312" w:hAnsi="kai_ti_gb2312" w:eastAsia="kai_ti_gb2312" w:cs="kai_ti_gb2312"/>
          <w:b/>
          <w:bCs/>
          <w:kern w:val="0"/>
          <w:sz w:val="27"/>
          <w:szCs w:val="27"/>
        </w:rPr>
        <w:object>
          <v:shape id="_x0000_i1027" o:spt="75" type="#_x0000_t75" style="height:687.5pt;width:486.3pt;" o:ole="t" filled="f" o:preferrelative="t" stroked="f" coordsize="21600,21600">
            <v:path/>
            <v:fill on="f" focussize="0,0"/>
            <v:stroke on="f"/>
            <v:imagedata r:id="rId13" o:title=""/>
            <o:lock v:ext="edit" aspectratio="f"/>
            <w10:wrap type="none"/>
            <w10:anchorlock/>
          </v:shape>
          <o:OLEObject Type="Embed" ProgID="Excel.Sheet.12" ShapeID="_x0000_i1027" DrawAspect="Content" ObjectID="_1468075727" r:id="rId12">
            <o:LockedField>false</o:LockedField>
          </o:OLEObject>
        </w:object>
      </w:r>
      <w:r>
        <w:rPr>
          <w:rFonts w:ascii="kai_ti_gb2312" w:hAnsi="kai_ti_gb2312" w:eastAsia="kai_ti_gb2312" w:cs="kai_ti_gb2312"/>
          <w:b/>
          <w:bCs/>
          <w:kern w:val="0"/>
          <w:sz w:val="27"/>
          <w:szCs w:val="27"/>
        </w:rPr>
        <w:object>
          <v:shape id="_x0000_i1028" o:spt="75" type="#_x0000_t75" style="height:692.65pt;width:489.25pt;" o:ole="t" filled="f" o:preferrelative="t" stroked="f" coordsize="21600,21600">
            <v:path/>
            <v:fill on="f" focussize="0,0"/>
            <v:stroke on="f"/>
            <v:imagedata r:id="rId15" o:title=""/>
            <o:lock v:ext="edit" aspectratio="f"/>
            <w10:wrap type="none"/>
            <w10:anchorlock/>
          </v:shape>
          <o:OLEObject Type="Embed" ProgID="Excel.Sheet.12" ShapeID="_x0000_i1028" DrawAspect="Content" ObjectID="_1468075728" r:id="rId14">
            <o:LockedField>false</o:LockedField>
          </o:OLEObject>
        </w:object>
      </w:r>
      <w:r>
        <w:rPr>
          <w:rFonts w:ascii="kai_ti_gb2312" w:hAnsi="kai_ti_gb2312" w:eastAsia="kai_ti_gb2312" w:cs="kai_ti_gb2312"/>
          <w:b/>
          <w:bCs/>
          <w:kern w:val="0"/>
          <w:sz w:val="27"/>
          <w:szCs w:val="27"/>
        </w:rPr>
        <w:object>
          <v:shape id="_x0000_i1029" o:spt="75" type="#_x0000_t75" style="height:690.2pt;width:484.85pt;" o:ole="t" filled="f" o:preferrelative="t" stroked="f" coordsize="21600,21600">
            <v:path/>
            <v:fill on="f" focussize="0,0"/>
            <v:stroke on="f"/>
            <v:imagedata r:id="rId17" o:title=""/>
            <o:lock v:ext="edit" aspectratio="f"/>
            <w10:wrap type="none"/>
            <w10:anchorlock/>
          </v:shape>
          <o:OLEObject Type="Embed" ProgID="Excel.Sheet.12" ShapeID="_x0000_i1029" DrawAspect="Content" ObjectID="_1468075729" r:id="rId16">
            <o:LockedField>false</o:LockedField>
          </o:OLEObject>
        </w:object>
      </w:r>
    </w:p>
    <w:p w14:paraId="21C71CF7">
      <w:pPr>
        <w:widowControl/>
        <w:numPr>
          <w:ilvl w:val="0"/>
          <w:numId w:val="0"/>
        </w:numPr>
        <w:spacing w:before="240" w:after="240"/>
        <w:ind w:firstLine="540" w:firstLineChars="20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334F60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hint="eastAsia" w:ascii="仿宋_GB2312" w:hAnsi="仿宋_GB2312" w:eastAsia="仿宋_GB2312" w:cs="仿宋_GB2312"/>
          <w:color w:val="000000"/>
          <w:kern w:val="0"/>
          <w:sz w:val="27"/>
          <w:szCs w:val="27"/>
          <w:lang w:val="en-US" w:eastAsia="zh-CN"/>
        </w:rPr>
        <w:t>离退休干部特需经费</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分，绩效评价结果为“优”。部门项目绩效评价得分情况详见部门具体绩效评价结果。</w:t>
      </w:r>
    </w:p>
    <w:p w14:paraId="08A8F4C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kern w:val="0"/>
          <w:sz w:val="27"/>
          <w:szCs w:val="27"/>
          <w:lang w:val="en-US" w:eastAsia="zh-CN"/>
        </w:rPr>
        <w:t>2024</w:t>
      </w:r>
      <w:r>
        <w:rPr>
          <w:rFonts w:hint="default" w:ascii="仿宋_GB2312" w:hAnsi="仿宋_GB2312" w:eastAsia="仿宋_GB2312" w:cs="仿宋_GB2312"/>
          <w:kern w:val="0"/>
          <w:sz w:val="27"/>
          <w:szCs w:val="27"/>
        </w:rPr>
        <w:t>年</w:t>
      </w:r>
      <w:r>
        <w:rPr>
          <w:rFonts w:hint="default" w:ascii="仿宋_GB2312" w:hAnsi="仿宋_GB2312" w:eastAsia="仿宋_GB2312" w:cs="仿宋_GB2312"/>
          <w:kern w:val="0"/>
          <w:sz w:val="27"/>
          <w:szCs w:val="27"/>
          <w:lang w:val="en-US" w:eastAsia="zh-CN"/>
        </w:rPr>
        <w:t>度</w:t>
      </w:r>
      <w:r>
        <w:rPr>
          <w:rFonts w:hint="eastAsia" w:ascii="仿宋_GB2312" w:hAnsi="仿宋_GB2312" w:eastAsia="仿宋_GB2312" w:cs="仿宋_GB2312"/>
          <w:kern w:val="0"/>
          <w:sz w:val="27"/>
          <w:szCs w:val="27"/>
        </w:rPr>
        <w:t>离退休干部特需经费</w:t>
      </w:r>
      <w:r>
        <w:rPr>
          <w:rFonts w:hint="default" w:ascii="仿宋_GB2312" w:hAnsi="仿宋_GB2312" w:eastAsia="仿宋_GB2312" w:cs="仿宋_GB2312"/>
          <w:kern w:val="0"/>
          <w:sz w:val="27"/>
          <w:szCs w:val="27"/>
        </w:rPr>
        <w:t>项目绩效自评报告</w:t>
      </w:r>
    </w:p>
    <w:p w14:paraId="0EEF7612">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一、项目基本情况</w:t>
      </w:r>
    </w:p>
    <w:p w14:paraId="7BB26D28">
      <w:pPr>
        <w:widowControl/>
        <w:spacing w:before="240" w:after="240"/>
        <w:ind w:firstLine="270" w:firstLineChars="10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（一）项目基本情况简介。</w:t>
      </w:r>
    </w:p>
    <w:p w14:paraId="6335DC4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为落实老干部政治待遇，做好老干部思想教育工作，设资金用于走访慰问老干部，生病住院看望，逝世吊唁，冬季送温暖，夏季送清凉，组织老干部参加各种文体娱乐活动。</w:t>
      </w:r>
    </w:p>
    <w:p w14:paraId="4C08233C">
      <w:pPr>
        <w:widowControl/>
        <w:spacing w:before="240" w:after="240"/>
        <w:ind w:firstLine="270" w:firstLineChars="10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二</w:t>
      </w:r>
      <w:r>
        <w:rPr>
          <w:rFonts w:hint="default" w:ascii="仿宋_GB2312" w:hAnsi="仿宋_GB2312" w:eastAsia="仿宋_GB2312" w:cs="仿宋_GB2312"/>
          <w:kern w:val="0"/>
          <w:sz w:val="27"/>
          <w:szCs w:val="27"/>
        </w:rPr>
        <w:t>）绩效目标设定及</w:t>
      </w:r>
      <w:r>
        <w:rPr>
          <w:rFonts w:hint="default" w:ascii="仿宋_GB2312" w:hAnsi="仿宋_GB2312" w:eastAsia="仿宋_GB2312" w:cs="仿宋_GB2312"/>
          <w:kern w:val="0"/>
          <w:sz w:val="27"/>
          <w:szCs w:val="27"/>
          <w:lang w:val="en-US" w:eastAsia="zh-CN"/>
        </w:rPr>
        <w:t>指标</w:t>
      </w:r>
      <w:r>
        <w:rPr>
          <w:rFonts w:hint="default" w:ascii="仿宋_GB2312" w:hAnsi="仿宋_GB2312" w:eastAsia="仿宋_GB2312" w:cs="仿宋_GB2312"/>
          <w:kern w:val="0"/>
          <w:sz w:val="27"/>
          <w:szCs w:val="27"/>
        </w:rPr>
        <w:t>完成情况。</w:t>
      </w:r>
    </w:p>
    <w:p w14:paraId="2F99527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年度绩效</w:t>
      </w:r>
      <w:r>
        <w:rPr>
          <w:rFonts w:hint="default" w:ascii="仿宋_GB2312" w:hAnsi="仿宋_GB2312" w:eastAsia="仿宋_GB2312" w:cs="仿宋_GB2312"/>
          <w:kern w:val="0"/>
          <w:sz w:val="27"/>
          <w:szCs w:val="27"/>
          <w:lang w:val="en-US" w:eastAsia="zh-CN"/>
        </w:rPr>
        <w:t>目标：</w:t>
      </w:r>
      <w:r>
        <w:rPr>
          <w:rFonts w:hint="eastAsia" w:ascii="仿宋_GB2312" w:hAnsi="仿宋_GB2312" w:eastAsia="仿宋_GB2312" w:cs="仿宋_GB2312"/>
          <w:kern w:val="0"/>
          <w:sz w:val="27"/>
          <w:szCs w:val="27"/>
          <w:lang w:val="en-US" w:eastAsia="zh-CN"/>
        </w:rPr>
        <w:t>预计支出12万元，用于每月开展两次文体活动娱乐以及重大节日庆祝活动。</w:t>
      </w:r>
    </w:p>
    <w:p w14:paraId="4EA671A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w:t>
      </w:r>
      <w:r>
        <w:rPr>
          <w:rFonts w:hint="default" w:ascii="仿宋_GB2312" w:hAnsi="仿宋_GB2312" w:eastAsia="仿宋_GB2312" w:cs="仿宋_GB2312"/>
          <w:kern w:val="0"/>
          <w:sz w:val="27"/>
          <w:szCs w:val="27"/>
          <w:lang w:val="en-US" w:eastAsia="zh-CN"/>
        </w:rPr>
        <w:t>绩效目标完成情况：</w:t>
      </w:r>
      <w:r>
        <w:rPr>
          <w:rFonts w:hint="eastAsia" w:ascii="仿宋_GB2312" w:hAnsi="仿宋_GB2312" w:eastAsia="仿宋_GB2312" w:cs="仿宋_GB2312"/>
          <w:kern w:val="0"/>
          <w:sz w:val="27"/>
          <w:szCs w:val="27"/>
          <w:lang w:val="en-US" w:eastAsia="zh-CN"/>
        </w:rPr>
        <w:t>项目按照预期目标完成。</w:t>
      </w:r>
    </w:p>
    <w:p w14:paraId="086FA10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三</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偏差分析及整改措施。无。</w:t>
      </w:r>
    </w:p>
    <w:p w14:paraId="005BE429">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二、绩效自评工作情况</w:t>
      </w:r>
    </w:p>
    <w:p w14:paraId="278F74F1">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（一）绩效自评目的。</w:t>
      </w:r>
    </w:p>
    <w:p w14:paraId="377BB17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绩效自评的目的是通过财政支出结果的评价，为政府和社会公众提供财政支出绩效信息，增强预算单位财政支出绩效管理理念，促进财政资金分配和使用更加科学有序，提高财政资金使用效益和效率。通过绩效自评过程反映项目年初制定的目标、计划、预算、定额等完成情况，并以此作为评价标准衡量财政支出绩效目标完成程度的标尺，对项目设定的绩效目标的实现程度进行审核，查找目前工作存在的问题及原因，并及时提出下一步改进措施。</w:t>
      </w:r>
    </w:p>
    <w:p w14:paraId="10ABC39A">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（二）项目资金投入情况。</w:t>
      </w:r>
    </w:p>
    <w:p w14:paraId="2C49A7EF">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项目资金</w:t>
      </w:r>
      <w:r>
        <w:rPr>
          <w:rFonts w:hint="default" w:ascii="仿宋_GB2312" w:hAnsi="仿宋_GB2312" w:eastAsia="仿宋_GB2312" w:cs="仿宋_GB2312"/>
          <w:kern w:val="0"/>
          <w:sz w:val="27"/>
          <w:szCs w:val="27"/>
          <w:lang w:val="en-US" w:eastAsia="zh-CN"/>
        </w:rPr>
        <w:t>年初预算数</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411506B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资金全年执行数</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w:t>
      </w:r>
      <w:r>
        <w:rPr>
          <w:rFonts w:hint="eastAsia" w:ascii="仿宋_GB2312" w:hAnsi="仿宋_GB2312" w:eastAsia="仿宋_GB2312" w:cs="仿宋_GB2312"/>
          <w:kern w:val="0"/>
          <w:sz w:val="27"/>
          <w:szCs w:val="27"/>
          <w:lang w:val="en-US" w:eastAsia="zh-CN"/>
        </w:rPr>
        <w:t>、执行率为100%</w:t>
      </w:r>
      <w:r>
        <w:rPr>
          <w:rFonts w:hint="default" w:ascii="仿宋_GB2312" w:hAnsi="仿宋_GB2312" w:eastAsia="仿宋_GB2312" w:cs="仿宋_GB2312"/>
          <w:kern w:val="0"/>
          <w:sz w:val="27"/>
          <w:szCs w:val="27"/>
          <w:lang w:val="en-US" w:eastAsia="zh-CN"/>
        </w:rPr>
        <w:t>，其中：财政拨款</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5FFA8B4D">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（三）项目资金产出情况。</w:t>
      </w:r>
    </w:p>
    <w:p w14:paraId="47F7FD9D">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离退休老干部特需经费项目为松山区预算资金项目，预算为12万元，年度实际执行预算为12万元，完成绩效项目目标100%，资金到位率为100%。</w:t>
      </w:r>
    </w:p>
    <w:p w14:paraId="16677EBB">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（四）项目资金管理情况。</w:t>
      </w:r>
    </w:p>
    <w:p w14:paraId="664A9B56">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资金的使用符合相关的财务管理制度规定，用以反映和考核项目资金的规范运行情况。符合此项目专项资金管理办法的规定，重大开支是经过集体研究通过，资金的拨付有完整的审批程序和手续，符合项目预算批复或合同规定的用途，项目资金来源渠道符合相关规定，财政资金支持方式科学合理，不存在截留、挤占、挪用、虚列支出等情况，是专款专用、专项核算。</w:t>
      </w:r>
    </w:p>
    <w:p w14:paraId="66782C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616F6CF2">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三、项目绩效情况</w:t>
      </w:r>
    </w:p>
    <w:p w14:paraId="70AAB6F8">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 产出指标</w:t>
      </w:r>
    </w:p>
    <w:p w14:paraId="46C6D82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1.数量指标</w:t>
      </w:r>
    </w:p>
    <w:p w14:paraId="1F90D7B6">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（1）开展文体活动(次)，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36</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36</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w:t>
      </w:r>
    </w:p>
    <w:p w14:paraId="4EAF482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w:t>
      </w:r>
    </w:p>
    <w:p w14:paraId="593FFEA5">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2.质量指标</w:t>
      </w:r>
    </w:p>
    <w:p w14:paraId="36FF9BC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（1）离退休老干部参与活动覆盖率(%)，</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w:t>
      </w:r>
    </w:p>
    <w:p w14:paraId="2131FA8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（2）活动开展合格率(%)，</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w:t>
      </w:r>
    </w:p>
    <w:p w14:paraId="7BC3FB33">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3.时效指标</w:t>
      </w:r>
    </w:p>
    <w:p w14:paraId="79FFEDA8">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（1）文体活动开展时间(小时/次)，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53AFA54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（2）重大节日庆祝活动开展时间(小时/次)，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731C8990">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4.成本指标</w:t>
      </w:r>
    </w:p>
    <w:p w14:paraId="58F69E4C">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（1）定期文体活动费(万元)，</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28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7.36</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16ADDD1F">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（2）重大节日庆祝活动费(万元)，</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4.64</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4.64</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54B5D94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 效益指标</w:t>
      </w:r>
    </w:p>
    <w:p w14:paraId="1BA11BD9">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5.社会效益</w:t>
      </w:r>
    </w:p>
    <w:p w14:paraId="7B2A58CE">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（1）丰富离退休老干部业余文化生活，</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丰富</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丰富</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w:t>
      </w:r>
    </w:p>
    <w:p w14:paraId="55AFC5D1">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6.可持续影响</w:t>
      </w:r>
    </w:p>
    <w:p w14:paraId="2A28978B">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（1）保障离退休老干部身心健康，</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长期</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长期</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w:t>
      </w:r>
    </w:p>
    <w:p w14:paraId="7AB6DD83">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 满意度指标</w:t>
      </w:r>
    </w:p>
    <w:p w14:paraId="09DD1262">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7.服务对象满意度</w:t>
      </w:r>
    </w:p>
    <w:p w14:paraId="47CF1AB9">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（1）离退休老干部(%)，</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97</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97</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10</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10</w:t>
      </w:r>
      <w:r>
        <w:rPr>
          <w:rFonts w:hint="default" w:ascii="仿宋_GB2312" w:hAnsi="仿宋_GB2312" w:eastAsia="仿宋_GB2312" w:cs="仿宋_GB2312"/>
          <w:kern w:val="0"/>
          <w:sz w:val="27"/>
          <w:szCs w:val="27"/>
          <w:lang w:val="en-US" w:eastAsia="zh-CN"/>
        </w:rPr>
        <w:t>。</w:t>
      </w:r>
    </w:p>
    <w:p w14:paraId="2D52635B">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(四) 自评得分情况</w:t>
      </w:r>
    </w:p>
    <w:p w14:paraId="3326EC3E">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本项目绩效自评得分</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分，等级为</w:t>
      </w:r>
      <w:r>
        <w:rPr>
          <w:rFonts w:hint="eastAsia" w:ascii="仿宋_GB2312" w:hAnsi="仿宋_GB2312" w:eastAsia="仿宋_GB2312" w:cs="仿宋_GB2312"/>
          <w:kern w:val="0"/>
          <w:sz w:val="27"/>
          <w:szCs w:val="27"/>
          <w:lang w:val="en-US" w:eastAsia="zh-CN"/>
        </w:rPr>
        <w:t>优</w:t>
      </w:r>
      <w:r>
        <w:rPr>
          <w:rFonts w:hint="default" w:ascii="仿宋_GB2312" w:hAnsi="仿宋_GB2312" w:eastAsia="仿宋_GB2312" w:cs="仿宋_GB2312"/>
          <w:kern w:val="0"/>
          <w:sz w:val="27"/>
          <w:szCs w:val="27"/>
          <w:lang w:val="en-US" w:eastAsia="zh-CN"/>
        </w:rPr>
        <w:t>。</w:t>
      </w:r>
    </w:p>
    <w:p w14:paraId="2B79C480">
      <w:pPr>
        <w:pStyle w:val="2"/>
        <w:bidi w:val="0"/>
        <w:ind w:firstLine="540" w:firstLineChars="200"/>
        <w:rPr>
          <w:rFonts w:hint="default" w:ascii="kai_ti_gb2312" w:hAnsi="kai_ti_gb2312" w:eastAsia="kai_ti_gb2312" w:cs="kai_ti_gb2312"/>
          <w:b/>
          <w:bCs/>
          <w:kern w:val="0"/>
          <w:sz w:val="27"/>
          <w:szCs w:val="27"/>
          <w:lang w:val="en-US" w:eastAsia="zh-CN" w:bidi="ar-SA"/>
        </w:rPr>
      </w:pPr>
      <w:r>
        <w:rPr>
          <w:rFonts w:hint="default" w:ascii="kai_ti_gb2312" w:hAnsi="kai_ti_gb2312" w:eastAsia="kai_ti_gb2312" w:cs="kai_ti_gb2312"/>
          <w:b/>
          <w:bCs/>
          <w:kern w:val="0"/>
          <w:sz w:val="27"/>
          <w:szCs w:val="27"/>
          <w:lang w:val="en-US" w:eastAsia="zh-CN" w:bidi="ar-SA"/>
        </w:rPr>
        <w:t>四、存在问题</w:t>
      </w:r>
    </w:p>
    <w:p w14:paraId="28A502D8">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（一）项目立项、实施存在问题。</w:t>
      </w:r>
      <w:r>
        <w:rPr>
          <w:rFonts w:hint="eastAsia" w:ascii="仿宋_GB2312" w:hAnsi="仿宋_GB2312" w:eastAsia="仿宋_GB2312" w:cs="仿宋_GB2312"/>
          <w:kern w:val="0"/>
          <w:sz w:val="27"/>
          <w:szCs w:val="27"/>
          <w:lang w:val="en-US" w:eastAsia="zh-CN"/>
        </w:rPr>
        <w:t>无</w:t>
      </w:r>
    </w:p>
    <w:p w14:paraId="595D8C6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（二）资金管理使用存在问题</w:t>
      </w:r>
      <w:r>
        <w:rPr>
          <w:rFonts w:hint="eastAsia" w:ascii="仿宋_GB2312" w:hAnsi="仿宋_GB2312" w:eastAsia="仿宋_GB2312" w:cs="仿宋_GB2312"/>
          <w:kern w:val="0"/>
          <w:sz w:val="27"/>
          <w:szCs w:val="27"/>
          <w:lang w:val="en-US" w:eastAsia="zh-CN"/>
        </w:rPr>
        <w:t>。无</w:t>
      </w:r>
    </w:p>
    <w:p w14:paraId="35424D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15A58DCB">
      <w:pPr>
        <w:pStyle w:val="2"/>
        <w:bidi w:val="0"/>
        <w:ind w:firstLine="540" w:firstLineChars="200"/>
        <w:rPr>
          <w:rFonts w:hint="default" w:ascii="kai_ti_gb2312" w:hAnsi="kai_ti_gb2312" w:eastAsia="kai_ti_gb2312" w:cs="kai_ti_gb2312"/>
          <w:b/>
          <w:bCs/>
          <w:kern w:val="0"/>
          <w:sz w:val="27"/>
          <w:szCs w:val="27"/>
          <w:lang w:val="en-US" w:eastAsia="zh-CN" w:bidi="ar-SA"/>
        </w:rPr>
      </w:pPr>
      <w:r>
        <w:rPr>
          <w:rFonts w:hint="default" w:ascii="kai_ti_gb2312" w:hAnsi="kai_ti_gb2312" w:eastAsia="kai_ti_gb2312" w:cs="kai_ti_gb2312"/>
          <w:b/>
          <w:bCs/>
          <w:kern w:val="0"/>
          <w:sz w:val="27"/>
          <w:szCs w:val="27"/>
          <w:lang w:val="en-US" w:eastAsia="zh-CN" w:bidi="ar-SA"/>
        </w:rPr>
        <w:t>五、其他需要说明的问题</w:t>
      </w:r>
    </w:p>
    <w:p w14:paraId="0CA8D9B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（一）后续工作计划。</w:t>
      </w:r>
    </w:p>
    <w:p w14:paraId="20DD3212">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首先，加强预算部门(单位)绩效管理水平。进一步加强预算绩效管理水平，客观、独立、中肯的进行绩效自评，形成以证据和结果为导向的自评报告，根据</w:t>
      </w:r>
      <w:r>
        <w:rPr>
          <w:rFonts w:hint="default" w:ascii="仿宋_GB2312" w:hAnsi="仿宋_GB2312" w:eastAsia="仿宋_GB2312" w:cs="仿宋_GB2312"/>
          <w:kern w:val="0"/>
          <w:sz w:val="27"/>
          <w:szCs w:val="27"/>
          <w:lang w:val="en-US" w:eastAsia="zh-CN" w:bidi="ar-SA"/>
        </w:rPr>
        <w:t>政务公开条例</w:t>
      </w:r>
      <w:r>
        <w:rPr>
          <w:rFonts w:hint="eastAsia" w:ascii="仿宋_GB2312" w:hAnsi="仿宋_GB2312" w:eastAsia="仿宋_GB2312" w:cs="仿宋_GB2312"/>
          <w:kern w:val="0"/>
          <w:sz w:val="27"/>
          <w:szCs w:val="27"/>
          <w:lang w:val="en-US" w:eastAsia="zh-CN"/>
        </w:rPr>
        <w:t>的有关规定，按照依法公开、主动公开和依法申请公开的操作流程，公开绩效目标、绩效指标和绩效自评报告，自觉接受社会各方面的监督。其次，做实“绩效自评”。形成“以证据或结果为导向的绩效评价体系”，真实反映项目自评得分，真正实现“预算”“绩效”深度融合，提升政府公信力，降低行政运行成本，注重经济效益、社会效益、生态效益、可持续发展能力和收益对象满意度，促进项目产出效果的最大化。</w:t>
      </w:r>
    </w:p>
    <w:p w14:paraId="4957DB92">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（二）措施及办法。</w:t>
      </w:r>
    </w:p>
    <w:p w14:paraId="41105ACC">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在预算管理过程中，统筹安排好各个环节的工作，进一步加强财务和业务部门之间的参与协助力度，加强与各科室的沟通配合、培训和指导，按要求完成本部门绩效自评工作。</w:t>
      </w:r>
    </w:p>
    <w:p w14:paraId="4CD57B8B">
      <w:pPr>
        <w:widowControl/>
        <w:spacing w:before="240" w:after="240"/>
        <w:jc w:val="left"/>
        <w:rPr>
          <w:rFonts w:ascii="Times New Roman" w:hAnsi="Times New Roman" w:eastAsia="Times New Roman" w:cs="Times New Roman"/>
          <w:kern w:val="0"/>
          <w:sz w:val="24"/>
        </w:rPr>
      </w:pPr>
    </w:p>
    <w:p w14:paraId="1FB191B5">
      <w:pPr>
        <w:widowControl/>
        <w:spacing w:before="240" w:after="240"/>
        <w:jc w:val="left"/>
        <w:rPr>
          <w:rFonts w:ascii="Times New Roman" w:hAnsi="Times New Roman" w:eastAsia="Times New Roman" w:cs="Times New Roman"/>
          <w:kern w:val="0"/>
          <w:sz w:val="24"/>
        </w:rPr>
      </w:pPr>
    </w:p>
    <w:p w14:paraId="1C385A7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1C57D1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4111E5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0A4800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45F9955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3F88A9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7273D4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66FFF93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0540A3F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E8F6E5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1904431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362A85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14F20F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623E6E7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62FF3F1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0A94D06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1F444B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54376A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指部门用财政拨款安排的公务用车购置及运行维护费</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其中，公务用车购置及运行维护费反映部门公务用车购置支出（含车辆购置税、牌照费）以及按规定保留的公务用车燃料费、维修费、过路过桥费、保险费等支出；</w:t>
      </w:r>
    </w:p>
    <w:p w14:paraId="5AD03A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基本支出中的公用经费支出，包括办公及印刷费、邮电费、差旅费、日常维修费、办公用房水电费、办公用房取暖费、办公用房物业管理费、公务用车运行维护费及其他费用等。</w:t>
      </w:r>
    </w:p>
    <w:p w14:paraId="6133658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4DDC041C">
      <w:pPr>
        <w:widowControl/>
        <w:spacing w:before="240" w:after="240"/>
        <w:jc w:val="left"/>
        <w:rPr>
          <w:rFonts w:ascii="Times New Roman" w:hAnsi="Times New Roman" w:eastAsia="Times New Roman" w:cs="Times New Roman"/>
          <w:kern w:val="0"/>
          <w:sz w:val="24"/>
        </w:rPr>
      </w:pPr>
    </w:p>
    <w:p w14:paraId="39B035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本部门决算公开信息反馈和联系方式：</w:t>
      </w:r>
    </w:p>
    <w:p w14:paraId="483085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周剑雄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0476-8466809</w:t>
      </w:r>
    </w:p>
    <w:p w14:paraId="36E6405C">
      <w:pPr>
        <w:widowControl/>
        <w:spacing w:before="240" w:after="240"/>
        <w:jc w:val="left"/>
        <w:rPr>
          <w:rFonts w:ascii="Times New Roman" w:hAnsi="Times New Roman" w:eastAsia="Times New Roman" w:cs="Times New Roman"/>
          <w:kern w:val="0"/>
          <w:sz w:val="24"/>
        </w:rPr>
      </w:pPr>
    </w:p>
    <w:p w14:paraId="16D855B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7419CAE4">
      <w:pPr>
        <w:widowControl/>
        <w:spacing w:before="240" w:after="240"/>
        <w:jc w:val="center"/>
        <w:rPr>
          <w:rFonts w:ascii="Times New Roman" w:hAnsi="Times New Roman" w:eastAsia="Times New Roman" w:cs="Times New Roman"/>
          <w:kern w:val="0"/>
          <w:sz w:val="24"/>
        </w:rPr>
      </w:pPr>
    </w:p>
    <w:p w14:paraId="2CCF7E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50CB4917">
      <w:pPr>
        <w:widowControl/>
        <w:spacing w:before="240" w:after="240"/>
        <w:jc w:val="left"/>
        <w:rPr>
          <w:rFonts w:ascii="Times New Roman" w:hAnsi="Times New Roman" w:eastAsia="Times New Roman" w:cs="Times New Roman"/>
          <w:kern w:val="0"/>
          <w:sz w:val="24"/>
        </w:rPr>
      </w:pPr>
    </w:p>
    <w:p w14:paraId="3218DD78">
      <w:pPr>
        <w:widowControl/>
        <w:spacing w:before="240" w:after="240"/>
        <w:jc w:val="left"/>
        <w:rPr>
          <w:rFonts w:ascii="Times New Roman" w:hAnsi="Times New Roman" w:eastAsia="Times New Roman" w:cs="Times New Roman"/>
          <w:kern w:val="0"/>
          <w:sz w:val="24"/>
        </w:rPr>
      </w:pPr>
    </w:p>
    <w:p w14:paraId="7C2DE61E">
      <w:pPr>
        <w:widowControl/>
        <w:spacing w:before="240" w:after="240"/>
        <w:jc w:val="left"/>
        <w:rPr>
          <w:rFonts w:ascii="Times New Roman" w:hAnsi="Times New Roman" w:eastAsia="Times New Roman" w:cs="Times New Roman"/>
          <w:kern w:val="0"/>
          <w:sz w:val="24"/>
        </w:rPr>
      </w:pPr>
    </w:p>
    <w:p w14:paraId="36368B89">
      <w:pPr>
        <w:widowControl/>
        <w:spacing w:before="240" w:after="240"/>
        <w:jc w:val="left"/>
        <w:rPr>
          <w:rFonts w:ascii="Times New Roman" w:hAnsi="Times New Roman" w:eastAsia="Times New Roman" w:cs="Times New Roman"/>
          <w:kern w:val="0"/>
          <w:sz w:val="24"/>
        </w:rPr>
      </w:pPr>
    </w:p>
    <w:bookmarkEnd w:id="0"/>
    <w:p w14:paraId="2F53B9A1">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_ti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黑体"/>
    <w:panose1 w:val="03000509000000000000"/>
    <w:charset w:val="86"/>
    <w:family w:val="roman"/>
    <w:pitch w:val="default"/>
    <w:sig w:usb0="00000000" w:usb1="00000000" w:usb2="00000000" w:usb3="00000000" w:csb0="00040000" w:csb1="00000000"/>
  </w:font>
  <w:font w:name="宋 体">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BC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4"/>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37E95"/>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7744AD"/>
    <w:rsid w:val="024A0BB7"/>
    <w:rsid w:val="02776189"/>
    <w:rsid w:val="028F475A"/>
    <w:rsid w:val="046F10A3"/>
    <w:rsid w:val="04AF4349"/>
    <w:rsid w:val="04AF658D"/>
    <w:rsid w:val="0518752C"/>
    <w:rsid w:val="05F6352F"/>
    <w:rsid w:val="062D77BE"/>
    <w:rsid w:val="06E45A7E"/>
    <w:rsid w:val="075E1FA5"/>
    <w:rsid w:val="07B80E03"/>
    <w:rsid w:val="09604EB8"/>
    <w:rsid w:val="09903C9B"/>
    <w:rsid w:val="0A1907D1"/>
    <w:rsid w:val="0AAD4927"/>
    <w:rsid w:val="0AE40A87"/>
    <w:rsid w:val="0AE5332E"/>
    <w:rsid w:val="0CDB31F2"/>
    <w:rsid w:val="0D1F3337"/>
    <w:rsid w:val="0D696CDD"/>
    <w:rsid w:val="0FDB1FED"/>
    <w:rsid w:val="10240C99"/>
    <w:rsid w:val="105A46BB"/>
    <w:rsid w:val="13747A2B"/>
    <w:rsid w:val="13933689"/>
    <w:rsid w:val="14302302"/>
    <w:rsid w:val="15B56D57"/>
    <w:rsid w:val="164F4A00"/>
    <w:rsid w:val="16C531D6"/>
    <w:rsid w:val="17697735"/>
    <w:rsid w:val="198E2512"/>
    <w:rsid w:val="19CF3664"/>
    <w:rsid w:val="1D7E164E"/>
    <w:rsid w:val="1F067C7E"/>
    <w:rsid w:val="20B56069"/>
    <w:rsid w:val="215F39E6"/>
    <w:rsid w:val="227173F8"/>
    <w:rsid w:val="22AC18CE"/>
    <w:rsid w:val="22C673AC"/>
    <w:rsid w:val="233768F0"/>
    <w:rsid w:val="23DB632A"/>
    <w:rsid w:val="23EF1D14"/>
    <w:rsid w:val="261E3C5F"/>
    <w:rsid w:val="2680328E"/>
    <w:rsid w:val="27AF7A25"/>
    <w:rsid w:val="288874B8"/>
    <w:rsid w:val="29F7252B"/>
    <w:rsid w:val="2ABB7135"/>
    <w:rsid w:val="2B104557"/>
    <w:rsid w:val="2C2C7879"/>
    <w:rsid w:val="2C602A8C"/>
    <w:rsid w:val="2CF14CAF"/>
    <w:rsid w:val="2DA271EE"/>
    <w:rsid w:val="2E343585"/>
    <w:rsid w:val="2F02673E"/>
    <w:rsid w:val="30267BC9"/>
    <w:rsid w:val="308F588C"/>
    <w:rsid w:val="312C07FF"/>
    <w:rsid w:val="32F26CA9"/>
    <w:rsid w:val="34732836"/>
    <w:rsid w:val="347418D4"/>
    <w:rsid w:val="34980ECF"/>
    <w:rsid w:val="34A75871"/>
    <w:rsid w:val="37C93D50"/>
    <w:rsid w:val="39EF2F41"/>
    <w:rsid w:val="3C7A05B9"/>
    <w:rsid w:val="3F977D6E"/>
    <w:rsid w:val="3FCF0BD4"/>
    <w:rsid w:val="41190E1C"/>
    <w:rsid w:val="429B4F75"/>
    <w:rsid w:val="42FA64D0"/>
    <w:rsid w:val="435B611E"/>
    <w:rsid w:val="43C31F9B"/>
    <w:rsid w:val="452F19E4"/>
    <w:rsid w:val="462927C7"/>
    <w:rsid w:val="47005CAC"/>
    <w:rsid w:val="4705742D"/>
    <w:rsid w:val="48C15438"/>
    <w:rsid w:val="49170DBF"/>
    <w:rsid w:val="4CE15AA5"/>
    <w:rsid w:val="4D206F23"/>
    <w:rsid w:val="4DF0728C"/>
    <w:rsid w:val="4E8174E0"/>
    <w:rsid w:val="4F5166AD"/>
    <w:rsid w:val="50A007FE"/>
    <w:rsid w:val="50B12FCB"/>
    <w:rsid w:val="50DA6E4B"/>
    <w:rsid w:val="50F81776"/>
    <w:rsid w:val="51BC70D5"/>
    <w:rsid w:val="51CD438B"/>
    <w:rsid w:val="51EB103B"/>
    <w:rsid w:val="520F7C62"/>
    <w:rsid w:val="52C16AB4"/>
    <w:rsid w:val="53B9205F"/>
    <w:rsid w:val="55425F79"/>
    <w:rsid w:val="55E0078B"/>
    <w:rsid w:val="55ED4D35"/>
    <w:rsid w:val="57D10590"/>
    <w:rsid w:val="59655B5F"/>
    <w:rsid w:val="597E2608"/>
    <w:rsid w:val="598C7885"/>
    <w:rsid w:val="5D4E5542"/>
    <w:rsid w:val="605B67AB"/>
    <w:rsid w:val="622368DF"/>
    <w:rsid w:val="62B9483E"/>
    <w:rsid w:val="64BD0E51"/>
    <w:rsid w:val="64EA35EF"/>
    <w:rsid w:val="678706BC"/>
    <w:rsid w:val="67D46389"/>
    <w:rsid w:val="69AF4642"/>
    <w:rsid w:val="6C7577A6"/>
    <w:rsid w:val="6CEC4C83"/>
    <w:rsid w:val="6D1648AF"/>
    <w:rsid w:val="6D401DE3"/>
    <w:rsid w:val="6D512765"/>
    <w:rsid w:val="6DFB482A"/>
    <w:rsid w:val="6E0E1EE1"/>
    <w:rsid w:val="6E3426B7"/>
    <w:rsid w:val="6F866FBD"/>
    <w:rsid w:val="70A61AE6"/>
    <w:rsid w:val="71BC143E"/>
    <w:rsid w:val="73A42065"/>
    <w:rsid w:val="74A91AB1"/>
    <w:rsid w:val="77226736"/>
    <w:rsid w:val="77527F54"/>
    <w:rsid w:val="7AD63213"/>
    <w:rsid w:val="7CCC5441"/>
    <w:rsid w:val="7D247713"/>
    <w:rsid w:val="7D562F5D"/>
    <w:rsid w:val="7E39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Normal Indent"/>
    <w:basedOn w:val="1"/>
    <w:qFormat/>
    <w:uiPriority w:val="99"/>
    <w:pPr>
      <w:ind w:firstLine="420" w:firstLineChars="200"/>
    </w:pPr>
  </w:style>
  <w:style w:type="paragraph" w:styleId="8">
    <w:name w:val="Document Map"/>
    <w:basedOn w:val="1"/>
    <w:qFormat/>
    <w:uiPriority w:val="0"/>
    <w:pPr>
      <w:shd w:val="clear" w:color="auto" w:fill="000080"/>
    </w:pPr>
  </w:style>
  <w:style w:type="paragraph" w:styleId="9">
    <w:name w:val="Body Text"/>
    <w:basedOn w:val="1"/>
    <w:next w:val="1"/>
    <w:qFormat/>
    <w:uiPriority w:val="99"/>
    <w:pPr>
      <w:spacing w:after="120"/>
    </w:pPr>
    <w:rPr>
      <w:rFonts w:ascii="Times New Roman" w:hAnsi="Times New Roman"/>
    </w:rPr>
  </w:style>
  <w:style w:type="paragraph" w:styleId="10">
    <w:name w:val="Body Text Indent"/>
    <w:basedOn w:val="1"/>
    <w:unhideWhenUsed/>
    <w:qFormat/>
    <w:uiPriority w:val="99"/>
    <w:pPr>
      <w:spacing w:after="120"/>
      <w:ind w:left="420" w:leftChars="200"/>
    </w:pPr>
  </w:style>
  <w:style w:type="paragraph" w:styleId="11">
    <w:name w:val="toc 5"/>
    <w:basedOn w:val="1"/>
    <w:next w:val="1"/>
    <w:autoRedefine/>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autoRedefine/>
    <w:qFormat/>
    <w:uiPriority w:val="0"/>
    <w:pPr>
      <w:ind w:left="1470"/>
      <w:jc w:val="left"/>
    </w:pPr>
    <w:rPr>
      <w:sz w:val="20"/>
      <w:szCs w:val="20"/>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snapToGrid w:val="0"/>
      <w:spacing w:line="360" w:lineRule="auto"/>
      <w:jc w:val="left"/>
    </w:pPr>
    <w:rPr>
      <w:b/>
      <w:bCs/>
      <w:sz w:val="24"/>
      <w:szCs w:val="20"/>
    </w:rPr>
  </w:style>
  <w:style w:type="paragraph" w:styleId="17">
    <w:name w:val="toc 4"/>
    <w:basedOn w:val="1"/>
    <w:next w:val="1"/>
    <w:autoRedefine/>
    <w:qFormat/>
    <w:uiPriority w:val="0"/>
    <w:pPr>
      <w:ind w:left="630"/>
      <w:jc w:val="left"/>
    </w:pPr>
    <w:rPr>
      <w:sz w:val="20"/>
      <w:szCs w:val="20"/>
    </w:rPr>
  </w:style>
  <w:style w:type="paragraph" w:styleId="18">
    <w:name w:val="toc 6"/>
    <w:basedOn w:val="1"/>
    <w:next w:val="1"/>
    <w:autoRedefine/>
    <w:qFormat/>
    <w:uiPriority w:val="0"/>
    <w:pPr>
      <w:ind w:left="1050"/>
      <w:jc w:val="left"/>
    </w:pPr>
    <w:rPr>
      <w:sz w:val="20"/>
      <w:szCs w:val="20"/>
    </w:rPr>
  </w:style>
  <w:style w:type="paragraph" w:styleId="19">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0">
    <w:name w:val="toc 9"/>
    <w:basedOn w:val="1"/>
    <w:next w:val="1"/>
    <w:autoRedefine/>
    <w:qFormat/>
    <w:uiPriority w:val="0"/>
    <w:pPr>
      <w:ind w:left="1680"/>
      <w:jc w:val="left"/>
    </w:pPr>
    <w:rPr>
      <w:sz w:val="20"/>
      <w:szCs w:val="20"/>
    </w:rPr>
  </w:style>
  <w:style w:type="paragraph" w:styleId="21">
    <w:name w:val="Title"/>
    <w:basedOn w:val="1"/>
    <w:next w:val="10"/>
    <w:qFormat/>
    <w:uiPriority w:val="0"/>
    <w:pPr>
      <w:spacing w:before="240" w:after="60"/>
      <w:ind w:left="640" w:leftChars="200"/>
      <w:outlineLvl w:val="0"/>
    </w:pPr>
    <w:rPr>
      <w:rFonts w:ascii="Arial" w:hAnsi="Arial" w:eastAsia="仿宋_GB2312" w:cs="Times New Roman"/>
      <w:b/>
      <w:sz w:val="32"/>
    </w:r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Char"/>
    <w:basedOn w:val="23"/>
    <w:link w:val="5"/>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Char"/>
    <w:link w:val="27"/>
    <w:qFormat/>
    <w:locked/>
    <w:uiPriority w:val="0"/>
    <w:rPr>
      <w:rFonts w:eastAsia="仿宋_GB2312"/>
      <w:sz w:val="30"/>
      <w:szCs w:val="22"/>
      <w:lang w:bidi="ar-SA"/>
    </w:rPr>
  </w:style>
  <w:style w:type="character" w:customStyle="1" w:styleId="29">
    <w:name w:val="页脚 Char"/>
    <w:basedOn w:val="23"/>
    <w:link w:val="14"/>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Char"/>
    <w:basedOn w:val="23"/>
    <w:link w:val="4"/>
    <w:qFormat/>
    <w:uiPriority w:val="0"/>
    <w:rPr>
      <w:b/>
      <w:bCs/>
      <w:kern w:val="2"/>
      <w:sz w:val="32"/>
      <w:szCs w:val="32"/>
    </w:rPr>
  </w:style>
  <w:style w:type="paragraph" w:customStyle="1" w:styleId="32">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oleObject" Target="embeddings/oleObject5.bin"/><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35</Words>
  <Characters>38</Characters>
  <Lines>1</Lines>
  <Paragraphs>1</Paragraphs>
  <TotalTime>1</TotalTime>
  <ScaleCrop>false</ScaleCrop>
  <LinksUpToDate>false</LinksUpToDate>
  <CharactersWithSpaces>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李玉凤</cp:lastModifiedBy>
  <cp:lastPrinted>2025-09-24T12:33:00Z</cp:lastPrinted>
  <dcterms:modified xsi:type="dcterms:W3CDTF">2025-12-11T02:08:41Z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37E5FC8B35374A2D8BF9A2A2CBF28374_13</vt:lpwstr>
  </property>
  <property fmtid="{D5CDD505-2E9C-101B-9397-08002B2CF9AE}" pid="3" name="KSOProductBuildVer">
    <vt:lpwstr>2052-12.1.0.23542</vt:lpwstr>
  </property>
  <property fmtid="{D5CDD505-2E9C-101B-9397-08002B2CF9AE}" pid="4" name="KSOTemplateDocerSaveRecord">
    <vt:lpwstr>eyJoZGlkIjoiM2YyMzY0ZjZhY2Y0NjRmMDBiMzkxMjYxMTQ3MDIxYTAiLCJ1c2VySWQiOiIxMTUwMDU2OTE1In0=</vt:lpwstr>
  </property>
</Properties>
</file>