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Theme="majorEastAsia" w:hAnsiTheme="majorEastAsia" w:eastAsiaTheme="majorEastAsia"/>
          <w:b/>
          <w:spacing w:val="6"/>
          <w:sz w:val="44"/>
          <w:szCs w:val="44"/>
        </w:rPr>
      </w:pPr>
      <w:bookmarkStart w:id="0" w:name="_GoBack"/>
      <w:r>
        <w:rPr>
          <w:rFonts w:hint="eastAsia" w:asciiTheme="majorEastAsia" w:hAnsiTheme="majorEastAsia" w:eastAsiaTheme="majorEastAsia"/>
          <w:b/>
          <w:spacing w:val="6"/>
          <w:sz w:val="44"/>
          <w:szCs w:val="44"/>
        </w:rPr>
        <w:t>内蒙古自治区市场监督管理</w:t>
      </w:r>
    </w:p>
    <w:p>
      <w:pPr>
        <w:spacing w:line="570" w:lineRule="exact"/>
        <w:jc w:val="center"/>
        <w:rPr>
          <w:rFonts w:asciiTheme="majorEastAsia" w:hAnsiTheme="majorEastAsia" w:eastAsiaTheme="majorEastAsia"/>
          <w:b/>
          <w:spacing w:val="6"/>
          <w:sz w:val="44"/>
          <w:szCs w:val="44"/>
        </w:rPr>
      </w:pPr>
      <w:r>
        <w:rPr>
          <w:rFonts w:hint="eastAsia" w:asciiTheme="majorEastAsia" w:hAnsiTheme="majorEastAsia" w:eastAsiaTheme="majorEastAsia"/>
          <w:b/>
          <w:spacing w:val="6"/>
          <w:sz w:val="44"/>
          <w:szCs w:val="44"/>
        </w:rPr>
        <w:t>行政处罚裁量权适用规则</w:t>
      </w:r>
    </w:p>
    <w:bookmarkEnd w:id="0"/>
    <w:p/>
    <w:p>
      <w:pPr>
        <w:widowControl/>
        <w:tabs>
          <w:tab w:val="left" w:pos="720"/>
        </w:tabs>
        <w:spacing w:line="570" w:lineRule="exact"/>
        <w:ind w:left="-363" w:firstLine="664" w:firstLineChars="200"/>
        <w:jc w:val="left"/>
        <w:rPr>
          <w:rFonts w:ascii="仿宋" w:hAnsi="仿宋" w:eastAsia="仿宋"/>
          <w:spacing w:val="6"/>
          <w:sz w:val="32"/>
          <w:szCs w:val="32"/>
        </w:rPr>
      </w:pPr>
      <w:r>
        <w:rPr>
          <w:rFonts w:hint="eastAsia" w:ascii="仿宋" w:hAnsi="仿宋" w:eastAsia="仿宋"/>
          <w:spacing w:val="6"/>
          <w:sz w:val="32"/>
          <w:szCs w:val="32"/>
        </w:rPr>
        <w:t>第一条 为了规范内蒙古自治区市场监督管理行政处罚行为，保障市场监督管理部门依法行使行政处罚裁量权，保护自然人、法人和其他组织的合法权益，根据《中华人民共和国行政处罚法》《内蒙古自治区规范行政处罚裁量权基准办法》等法律法规和有关规定</w:t>
      </w:r>
      <w:r>
        <w:rPr>
          <w:rFonts w:hint="eastAsia" w:ascii="仿宋" w:hAnsi="仿宋" w:eastAsia="仿宋"/>
          <w:color w:val="000000"/>
          <w:spacing w:val="6"/>
          <w:sz w:val="32"/>
          <w:szCs w:val="32"/>
        </w:rPr>
        <w:t>，结合自治区实际，</w:t>
      </w:r>
      <w:r>
        <w:rPr>
          <w:rFonts w:hint="eastAsia" w:ascii="仿宋" w:hAnsi="仿宋" w:eastAsia="仿宋"/>
          <w:spacing w:val="6"/>
          <w:sz w:val="32"/>
          <w:szCs w:val="32"/>
        </w:rPr>
        <w:t>制定本规则。</w:t>
      </w:r>
    </w:p>
    <w:p>
      <w:pPr>
        <w:spacing w:line="570" w:lineRule="exact"/>
        <w:ind w:left="-283" w:leftChars="-135" w:firstLine="664" w:firstLineChars="200"/>
        <w:rPr>
          <w:rFonts w:ascii="仿宋" w:hAnsi="仿宋" w:eastAsia="仿宋"/>
          <w:spacing w:val="6"/>
          <w:sz w:val="32"/>
          <w:szCs w:val="32"/>
        </w:rPr>
      </w:pPr>
      <w:r>
        <w:rPr>
          <w:rFonts w:hint="eastAsia" w:ascii="仿宋" w:hAnsi="仿宋" w:eastAsia="仿宋"/>
          <w:spacing w:val="6"/>
          <w:sz w:val="32"/>
          <w:szCs w:val="32"/>
        </w:rPr>
        <w:t>第二条 行政处罚裁量权是指内蒙古自治区各级市场监督管理部门在实施行政处罚时，根据法律、法规、规章的规定，综合考虑违法行为的事实、性质、情节、社会危害程度以及当事人主观过错等因素，决定是否给予行政处罚、给予行政处罚的种类和幅度的权限。</w:t>
      </w:r>
    </w:p>
    <w:p>
      <w:pPr>
        <w:widowControl/>
        <w:shd w:val="clear" w:color="auto" w:fill="FFFFFF"/>
        <w:spacing w:line="570" w:lineRule="exact"/>
        <w:ind w:left="-283" w:leftChars="-135" w:firstLine="664" w:firstLineChars="200"/>
        <w:rPr>
          <w:rFonts w:ascii="仿宋" w:hAnsi="仿宋" w:eastAsia="仿宋" w:cs="宋体"/>
          <w:color w:val="FF0000"/>
          <w:kern w:val="0"/>
          <w:sz w:val="32"/>
          <w:szCs w:val="32"/>
        </w:rPr>
      </w:pPr>
      <w:r>
        <w:rPr>
          <w:rFonts w:hint="eastAsia" w:ascii="仿宋" w:hAnsi="仿宋" w:eastAsia="仿宋"/>
          <w:spacing w:val="6"/>
          <w:sz w:val="32"/>
          <w:szCs w:val="32"/>
        </w:rPr>
        <w:t>第三条 内蒙古自治区各级市场监督管理部门及其管理的法律法规授权的组织以及依法委托的组织在依法查处案件过程中，就当事人违法性质的认定、法律依据的适用、行政处罚种类及其数额幅度的确定进行裁量，应当遵循本规则。</w:t>
      </w:r>
    </w:p>
    <w:p>
      <w:pPr>
        <w:spacing w:line="570" w:lineRule="exact"/>
        <w:ind w:firstLine="332" w:firstLineChars="100"/>
        <w:rPr>
          <w:rFonts w:ascii="仿宋" w:hAnsi="仿宋" w:eastAsia="仿宋"/>
          <w:spacing w:val="6"/>
          <w:sz w:val="32"/>
          <w:szCs w:val="32"/>
        </w:rPr>
      </w:pPr>
      <w:r>
        <w:rPr>
          <w:rFonts w:hint="eastAsia" w:ascii="仿宋" w:hAnsi="仿宋" w:eastAsia="仿宋"/>
          <w:spacing w:val="6"/>
          <w:sz w:val="32"/>
          <w:szCs w:val="32"/>
        </w:rPr>
        <w:t>法律、法规、规章已经做出规定的，从其规定。</w:t>
      </w:r>
    </w:p>
    <w:p>
      <w:pPr>
        <w:spacing w:line="570" w:lineRule="exact"/>
        <w:ind w:firstLine="332" w:firstLineChars="100"/>
        <w:rPr>
          <w:rFonts w:ascii="仿宋" w:hAnsi="仿宋" w:eastAsia="仿宋"/>
          <w:spacing w:val="6"/>
          <w:sz w:val="32"/>
          <w:szCs w:val="32"/>
        </w:rPr>
      </w:pPr>
      <w:r>
        <w:rPr>
          <w:rFonts w:hint="eastAsia" w:ascii="仿宋" w:hAnsi="仿宋" w:eastAsia="仿宋"/>
          <w:spacing w:val="6"/>
          <w:sz w:val="32"/>
          <w:szCs w:val="32"/>
        </w:rPr>
        <w:t>第四条 行使行政处罚裁量权，应当遵循以下原则：</w:t>
      </w:r>
    </w:p>
    <w:p>
      <w:pPr>
        <w:spacing w:line="570" w:lineRule="exact"/>
        <w:ind w:left="-178" w:leftChars="-85" w:firstLine="498" w:firstLineChars="150"/>
        <w:rPr>
          <w:rFonts w:ascii="仿宋" w:hAnsi="仿宋" w:eastAsia="仿宋"/>
          <w:spacing w:val="6"/>
          <w:sz w:val="32"/>
          <w:szCs w:val="32"/>
        </w:rPr>
      </w:pPr>
      <w:r>
        <w:rPr>
          <w:rFonts w:hint="eastAsia" w:ascii="仿宋" w:hAnsi="仿宋" w:eastAsia="仿宋"/>
          <w:spacing w:val="6"/>
          <w:sz w:val="32"/>
          <w:szCs w:val="32"/>
        </w:rPr>
        <w:t>（一）合法原则。依据法定权限，符合法律、法规、规章规定的裁量条件、行政处罚种类和幅度，遵守法定程序。</w:t>
      </w:r>
    </w:p>
    <w:p>
      <w:pPr>
        <w:spacing w:line="570" w:lineRule="exact"/>
        <w:ind w:left="-178" w:leftChars="-85" w:firstLine="498" w:firstLineChars="150"/>
        <w:rPr>
          <w:rFonts w:ascii="仿宋" w:hAnsi="仿宋" w:eastAsia="仿宋"/>
          <w:spacing w:val="6"/>
          <w:sz w:val="32"/>
          <w:szCs w:val="32"/>
        </w:rPr>
      </w:pPr>
      <w:r>
        <w:rPr>
          <w:rFonts w:hint="eastAsia" w:ascii="仿宋" w:hAnsi="仿宋" w:eastAsia="仿宋"/>
          <w:spacing w:val="6"/>
          <w:sz w:val="32"/>
          <w:szCs w:val="32"/>
        </w:rPr>
        <w:t>（二）公平原则。对于违法事实、性质、情节、手段、社会危害程度等主客观因素相同或相近的、违法主体同类的案件，适用的法律依据以及作出的行政处罚的种类和幅度应当基本一致。　　</w:t>
      </w:r>
    </w:p>
    <w:p>
      <w:pPr>
        <w:spacing w:line="570" w:lineRule="exact"/>
        <w:ind w:firstLine="498" w:firstLineChars="150"/>
        <w:rPr>
          <w:rFonts w:ascii="仿宋" w:hAnsi="仿宋" w:eastAsia="仿宋"/>
          <w:spacing w:val="6"/>
          <w:sz w:val="32"/>
          <w:szCs w:val="32"/>
        </w:rPr>
      </w:pPr>
      <w:r>
        <w:rPr>
          <w:rFonts w:hint="eastAsia" w:ascii="仿宋" w:hAnsi="仿宋" w:eastAsia="仿宋"/>
          <w:spacing w:val="6"/>
          <w:sz w:val="32"/>
          <w:szCs w:val="32"/>
        </w:rPr>
        <w:t>（三）过罚相当原则。以事实为依据，行政处罚的种类和幅度与违法行为的事实、性质、情节、社会危害程度等相当。</w:t>
      </w:r>
    </w:p>
    <w:p>
      <w:pPr>
        <w:spacing w:line="570" w:lineRule="exact"/>
        <w:ind w:firstLine="498" w:firstLineChars="150"/>
        <w:rPr>
          <w:rFonts w:ascii="仿宋" w:hAnsi="仿宋" w:eastAsia="仿宋"/>
          <w:spacing w:val="6"/>
          <w:sz w:val="32"/>
          <w:szCs w:val="32"/>
        </w:rPr>
      </w:pPr>
      <w:r>
        <w:rPr>
          <w:rFonts w:hint="eastAsia" w:ascii="仿宋" w:hAnsi="仿宋" w:eastAsia="仿宋"/>
          <w:spacing w:val="6"/>
          <w:sz w:val="32"/>
          <w:szCs w:val="32"/>
        </w:rPr>
        <w:t>（四）处罚与教育相结合原则。兼顾纠正违法行为和教育当事人，引导当事人自觉守法。</w:t>
      </w:r>
    </w:p>
    <w:p>
      <w:pPr>
        <w:spacing w:line="570" w:lineRule="exact"/>
        <w:ind w:firstLine="564" w:firstLineChars="170"/>
        <w:rPr>
          <w:rFonts w:ascii="仿宋" w:hAnsi="仿宋" w:eastAsia="仿宋"/>
          <w:spacing w:val="6"/>
          <w:sz w:val="32"/>
          <w:szCs w:val="32"/>
        </w:rPr>
      </w:pPr>
      <w:r>
        <w:rPr>
          <w:rFonts w:hint="eastAsia" w:ascii="仿宋" w:hAnsi="仿宋" w:eastAsia="仿宋"/>
          <w:spacing w:val="6"/>
          <w:sz w:val="32"/>
          <w:szCs w:val="32"/>
        </w:rPr>
        <w:t>（五）综合裁量原则。综合考虑个案情况，兼顾地区经济社会发展水平、当事人主客观情况等相关因素，实现法律效果、社会效果、政治效果的统一。</w:t>
      </w:r>
    </w:p>
    <w:p>
      <w:pPr>
        <w:spacing w:line="570" w:lineRule="exact"/>
        <w:rPr>
          <w:rFonts w:ascii="仿宋" w:hAnsi="仿宋" w:eastAsia="仿宋"/>
          <w:spacing w:val="6"/>
          <w:sz w:val="32"/>
          <w:szCs w:val="32"/>
        </w:rPr>
      </w:pPr>
      <w:r>
        <w:rPr>
          <w:rFonts w:hint="eastAsia" w:ascii="仿宋" w:hAnsi="仿宋" w:eastAsia="仿宋"/>
          <w:spacing w:val="6"/>
          <w:sz w:val="32"/>
          <w:szCs w:val="32"/>
        </w:rPr>
        <w:t xml:space="preserve">    第五条 当事人同一违法行为同时违反了不同法律规范，在选择适用时应当遵循下列原则：</w:t>
      </w:r>
    </w:p>
    <w:p>
      <w:pPr>
        <w:adjustRightIn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 xml:space="preserve">（一）法律规范效力不同，相互之间不抵触的，可以适用效力低的法律规范；相互之间规定不一致的，应当适用效力高的法律规范；  </w:t>
      </w:r>
    </w:p>
    <w:p>
      <w:pPr>
        <w:adjustRightIn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（二）法律规范效力相同，按照新法优于旧法、特别法优于一般法的原则，并兼顾适用“从旧兼从轻”原则；</w:t>
      </w:r>
    </w:p>
    <w:p>
      <w:pPr>
        <w:tabs>
          <w:tab w:val="left" w:pos="426"/>
        </w:tabs>
        <w:spacing w:line="570" w:lineRule="exact"/>
        <w:rPr>
          <w:rFonts w:ascii="仿宋" w:hAnsi="仿宋" w:eastAsia="仿宋"/>
          <w:color w:val="FF0000"/>
          <w:spacing w:val="6"/>
          <w:sz w:val="32"/>
          <w:szCs w:val="32"/>
        </w:rPr>
      </w:pPr>
      <w:r>
        <w:rPr>
          <w:rFonts w:hint="eastAsia" w:ascii="仿宋" w:hAnsi="仿宋" w:eastAsia="仿宋"/>
          <w:spacing w:val="6"/>
          <w:sz w:val="32"/>
          <w:szCs w:val="32"/>
        </w:rPr>
        <w:t xml:space="preserve">    第六条内蒙古自治区各级市场监督管理部门行使行政处罚裁量权时，应当综合考虑违法行为的以下情节或者裁量因素进行裁量：</w:t>
      </w:r>
    </w:p>
    <w:p>
      <w:pPr>
        <w:spacing w:line="570" w:lineRule="exact"/>
        <w:ind w:left="-178" w:leftChars="-85" w:firstLine="830" w:firstLineChars="250"/>
        <w:jc w:val="left"/>
        <w:rPr>
          <w:rFonts w:ascii="仿宋" w:hAnsi="仿宋" w:eastAsia="仿宋"/>
          <w:spacing w:val="6"/>
          <w:sz w:val="32"/>
          <w:szCs w:val="32"/>
        </w:rPr>
      </w:pPr>
      <w:r>
        <w:rPr>
          <w:rFonts w:hint="eastAsia" w:ascii="仿宋" w:hAnsi="仿宋" w:eastAsia="仿宋"/>
          <w:spacing w:val="6"/>
          <w:sz w:val="32"/>
          <w:szCs w:val="32"/>
        </w:rPr>
        <w:t xml:space="preserve">（一）当事人是否主观故意； </w:t>
      </w:r>
    </w:p>
    <w:p>
      <w:pPr>
        <w:spacing w:line="570" w:lineRule="exact"/>
        <w:ind w:left="-178" w:leftChars="-85" w:firstLine="664" w:firstLineChars="200"/>
        <w:jc w:val="left"/>
        <w:rPr>
          <w:rFonts w:ascii="仿宋" w:hAnsi="仿宋" w:eastAsia="仿宋"/>
          <w:spacing w:val="6"/>
          <w:sz w:val="32"/>
          <w:szCs w:val="32"/>
        </w:rPr>
      </w:pPr>
      <w:r>
        <w:rPr>
          <w:rFonts w:hint="eastAsia" w:ascii="仿宋" w:hAnsi="仿宋" w:eastAsia="仿宋"/>
          <w:spacing w:val="6"/>
          <w:sz w:val="32"/>
          <w:szCs w:val="32"/>
        </w:rPr>
        <w:t xml:space="preserve"> （二）违法行为和违法生产经营产品的危害后果；</w:t>
      </w:r>
    </w:p>
    <w:p>
      <w:pPr>
        <w:spacing w:line="570" w:lineRule="exact"/>
        <w:ind w:firstLine="664" w:firstLineChars="200"/>
        <w:jc w:val="left"/>
        <w:rPr>
          <w:rFonts w:ascii="仿宋" w:hAnsi="仿宋" w:eastAsia="仿宋"/>
          <w:spacing w:val="6"/>
          <w:sz w:val="32"/>
          <w:szCs w:val="32"/>
        </w:rPr>
      </w:pPr>
      <w:r>
        <w:rPr>
          <w:rFonts w:hint="eastAsia" w:ascii="仿宋" w:hAnsi="仿宋" w:eastAsia="仿宋"/>
          <w:spacing w:val="6"/>
          <w:sz w:val="32"/>
          <w:szCs w:val="32"/>
        </w:rPr>
        <w:t>（三）初次违法还是再次多次违法；</w:t>
      </w:r>
    </w:p>
    <w:p>
      <w:pPr>
        <w:spacing w:line="570" w:lineRule="exact"/>
        <w:ind w:firstLine="664" w:firstLineChars="200"/>
        <w:jc w:val="left"/>
        <w:rPr>
          <w:rFonts w:ascii="仿宋" w:hAnsi="仿宋" w:eastAsia="仿宋"/>
          <w:spacing w:val="6"/>
          <w:sz w:val="32"/>
          <w:szCs w:val="32"/>
        </w:rPr>
      </w:pPr>
      <w:r>
        <w:rPr>
          <w:rFonts w:hint="eastAsia" w:ascii="仿宋" w:hAnsi="仿宋" w:eastAsia="仿宋"/>
          <w:spacing w:val="6"/>
          <w:sz w:val="32"/>
          <w:szCs w:val="32"/>
        </w:rPr>
        <w:t>（四）违法行为侵犯的对象和持续时间的长短；</w:t>
      </w:r>
    </w:p>
    <w:p>
      <w:pPr>
        <w:spacing w:line="570" w:lineRule="exact"/>
        <w:ind w:firstLine="664" w:firstLineChars="200"/>
        <w:jc w:val="left"/>
        <w:rPr>
          <w:rFonts w:ascii="仿宋" w:hAnsi="仿宋" w:eastAsia="仿宋"/>
          <w:spacing w:val="6"/>
          <w:sz w:val="32"/>
          <w:szCs w:val="32"/>
        </w:rPr>
      </w:pPr>
      <w:r>
        <w:rPr>
          <w:rFonts w:hint="eastAsia" w:ascii="仿宋" w:hAnsi="仿宋" w:eastAsia="仿宋"/>
          <w:spacing w:val="6"/>
          <w:sz w:val="32"/>
          <w:szCs w:val="32"/>
        </w:rPr>
        <w:t>（五）涉案产品的数量、货值金额；</w:t>
      </w:r>
    </w:p>
    <w:p>
      <w:pPr>
        <w:spacing w:line="570" w:lineRule="exact"/>
        <w:ind w:firstLine="664" w:firstLineChars="200"/>
        <w:jc w:val="left"/>
        <w:rPr>
          <w:rFonts w:ascii="仿宋" w:hAnsi="仿宋" w:eastAsia="仿宋"/>
          <w:spacing w:val="6"/>
          <w:sz w:val="32"/>
          <w:szCs w:val="32"/>
        </w:rPr>
      </w:pPr>
      <w:r>
        <w:rPr>
          <w:rFonts w:hint="eastAsia" w:ascii="仿宋" w:hAnsi="仿宋" w:eastAsia="仿宋"/>
          <w:spacing w:val="6"/>
          <w:sz w:val="32"/>
          <w:szCs w:val="32"/>
        </w:rPr>
        <w:t>（六）当事人的悔过表现、采取的措施及改正效果；</w:t>
      </w:r>
    </w:p>
    <w:p>
      <w:pPr>
        <w:spacing w:line="570" w:lineRule="exact"/>
        <w:ind w:firstLine="664" w:firstLineChars="200"/>
        <w:jc w:val="left"/>
        <w:rPr>
          <w:rFonts w:ascii="仿宋" w:hAnsi="仿宋" w:eastAsia="仿宋"/>
          <w:spacing w:val="6"/>
          <w:sz w:val="32"/>
          <w:szCs w:val="32"/>
        </w:rPr>
      </w:pPr>
      <w:r>
        <w:rPr>
          <w:rFonts w:hint="eastAsia" w:ascii="仿宋" w:hAnsi="仿宋" w:eastAsia="仿宋"/>
          <w:spacing w:val="6"/>
          <w:sz w:val="32"/>
          <w:szCs w:val="32"/>
        </w:rPr>
        <w:t>（七）政策、标准是否变化；</w:t>
      </w:r>
    </w:p>
    <w:p>
      <w:pPr>
        <w:spacing w:line="570" w:lineRule="exact"/>
        <w:ind w:firstLine="664" w:firstLineChars="200"/>
        <w:jc w:val="left"/>
        <w:rPr>
          <w:rFonts w:ascii="仿宋" w:hAnsi="仿宋" w:eastAsia="仿宋"/>
          <w:spacing w:val="6"/>
          <w:sz w:val="32"/>
          <w:szCs w:val="32"/>
        </w:rPr>
      </w:pPr>
      <w:r>
        <w:rPr>
          <w:rFonts w:hint="eastAsia" w:ascii="仿宋" w:hAnsi="仿宋" w:eastAsia="仿宋"/>
          <w:spacing w:val="6"/>
          <w:sz w:val="32"/>
          <w:szCs w:val="32"/>
        </w:rPr>
        <w:t>（八）其他应当考虑的情节或裁量因素。</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第七条 本规则所称不予行政处罚、减轻行政处罚、从轻行政处罚、从重行政处罚是指：</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（一）不予行政处罚，是指因法定原因对特定违法行为不给予行政处罚。</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（三）从轻行政处罚，是指在依法可以选择的处罚种类和处罚幅度内，适用较轻、较少的处罚种类或者较低的处罚幅度。</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（四）从重行政处罚，是指在依法可以选择的处罚种类和处罚幅度内，适用较重、较多的处罚种类或者较高的处罚幅度。</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第八条 从轻行政处罚、从重行政处罚的罚款幅度分别按照下列方式计算：</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从轻行政处罚:[法定最低处罚金额+(法定最高处罚金额-法定最低处罚金额)×30%]以下至法定最低处罚金额，以下包含本数；</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从重行政处罚:[法定最高处罚金额-(法定最高处罚金额-法定最低处罚金额)×30%]以上至法定最高处罚金额，以上包含本数。</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第九条当事人有下列情形之一的，应当依法不予行政处罚：</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（一）不满十四周岁的人有违法行为的；</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（二）精神病人在不能辨认或者不能控制自己行为时实施违法行为的；</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（三）违法行为轻微并及时纠正，没有造成危害后果的；</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（四）除法律另有规定外，违法行为在二年内未被发现的；</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（五）其他依法应当不予行政处罚的。</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第十条 当事人有下列情形之一的，应当依法从轻或者减轻行政处罚：</w:t>
      </w:r>
    </w:p>
    <w:p>
      <w:pPr>
        <w:spacing w:line="570" w:lineRule="exact"/>
        <w:ind w:firstLine="707" w:firstLineChars="213"/>
        <w:rPr>
          <w:rFonts w:ascii="仿宋" w:hAnsi="仿宋" w:eastAsia="仿宋"/>
          <w:spacing w:val="6"/>
          <w:sz w:val="32"/>
          <w:szCs w:val="32"/>
        </w:rPr>
      </w:pPr>
      <w:r>
        <w:rPr>
          <w:rFonts w:hint="eastAsia" w:ascii="仿宋" w:hAnsi="仿宋" w:eastAsia="仿宋"/>
          <w:spacing w:val="6"/>
          <w:sz w:val="32"/>
          <w:szCs w:val="32"/>
        </w:rPr>
        <w:t>（一）已满十四周岁不满十八周岁的人有违法行为的；</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（二）主动消除或者减轻违法行为危害后果的；</w:t>
      </w:r>
    </w:p>
    <w:p>
      <w:pPr>
        <w:spacing w:line="570" w:lineRule="exact"/>
        <w:ind w:firstLine="693" w:firstLineChars="209"/>
        <w:rPr>
          <w:rFonts w:ascii="仿宋" w:hAnsi="仿宋" w:eastAsia="仿宋"/>
          <w:spacing w:val="6"/>
          <w:sz w:val="32"/>
          <w:szCs w:val="32"/>
        </w:rPr>
      </w:pPr>
      <w:r>
        <w:rPr>
          <w:rFonts w:hint="eastAsia" w:ascii="仿宋" w:hAnsi="仿宋" w:eastAsia="仿宋"/>
          <w:spacing w:val="6"/>
          <w:sz w:val="32"/>
          <w:szCs w:val="32"/>
        </w:rPr>
        <w:t>（三）受他人胁迫有违法行为的；</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（四）配合市场监督管理部门查处违法行为有立功表现的，包括但不限于当事人揭发市场监管领域重大违法行为或者提供查处市场监管领域其他重大违法行为的关键线索或证据，并经查证属实的；</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（五）其他应当依法从轻或者减轻行政处罚的。</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第十一条 当事人有下列情形之一的，可以依法从轻行政处罚；当事人有下列情形之一，并且没有造成危害后果的，可以依法减轻行政处罚：</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（一）违法行为轻微的；</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（二）主动停止违法行为的；</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（三）及时采取纠正措施的；</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 xml:space="preserve">（四）积极配合市场监督管理部门调查，如实陈述违法事实并主动提供证据材料的； </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（五）受他人诱骗实施违法行为的；</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（六）在共同违法行为中起次要或者辅助作用的；</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（七）当事人有充分证据证明不存在主观故意或者重大过失的；</w:t>
      </w:r>
    </w:p>
    <w:p>
      <w:pPr>
        <w:spacing w:line="570" w:lineRule="exact"/>
        <w:ind w:firstLine="650" w:firstLineChars="196"/>
        <w:rPr>
          <w:rFonts w:ascii="仿宋" w:hAnsi="仿宋" w:eastAsia="仿宋"/>
          <w:spacing w:val="6"/>
          <w:sz w:val="32"/>
          <w:szCs w:val="32"/>
        </w:rPr>
      </w:pPr>
      <w:r>
        <w:rPr>
          <w:rFonts w:hint="eastAsia" w:ascii="仿宋" w:hAnsi="仿宋" w:eastAsia="仿宋"/>
          <w:spacing w:val="6"/>
          <w:sz w:val="32"/>
          <w:szCs w:val="32"/>
        </w:rPr>
        <w:t>（八）当事人因残疾或者重大疾病等原因生活确有困难的。</w:t>
      </w:r>
    </w:p>
    <w:p>
      <w:pPr>
        <w:spacing w:line="570" w:lineRule="exact"/>
        <w:ind w:firstLine="664" w:firstLineChars="200"/>
        <w:rPr>
          <w:rFonts w:ascii="仿宋" w:hAnsi="仿宋" w:eastAsia="仿宋"/>
          <w:b/>
          <w:spacing w:val="6"/>
          <w:sz w:val="32"/>
          <w:szCs w:val="32"/>
        </w:rPr>
      </w:pPr>
      <w:r>
        <w:rPr>
          <w:rFonts w:hint="eastAsia" w:ascii="仿宋" w:hAnsi="仿宋" w:eastAsia="仿宋"/>
          <w:spacing w:val="6"/>
          <w:sz w:val="32"/>
          <w:szCs w:val="32"/>
        </w:rPr>
        <w:t>第十二条当事人有下列情形之一的，可以依法从重行政处罚：</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（一）违法行为造成他人人身伤亡或者重大财产损失等严重危害后果的；</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 xml:space="preserve">（二）在发生自然灾害、事故灾难、公共卫生或者社会安全事件期间实施违法行为的； </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（三）故意生产、销售危及人身、财产安全的产品的；</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（四）隐藏、转移、变卖、损毁市场监督管理部门依法查封、扣押的财物或者先行登记保存的证据的，市场监管部门已依法对上述行为进行处罚的除外；</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（五）伪造、隐匿、毁灭证据的；</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（六）被责令停止实施或者被纠正违法行为后，继续实施违法行为的；</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（七）同一性质的违法行为受过刑事处罚，或者一年内因同一性质的违法行为受过行政处罚的；</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（八）教唆、胁迫、诱骗他人实施违法行为的；</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（九）阻碍或者拒不配合行政执法人员依法执行职务或者对行政执法人员打击报复的；</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（十）不按照规定及时报告安全事故信息致使危害扩大的；</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（十一）其他可以依法从重行政处罚的。</w:t>
      </w:r>
    </w:p>
    <w:p>
      <w:pPr>
        <w:adjustRightInd w:val="0"/>
        <w:snapToGrid w:val="0"/>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第十三条 法律、法规、规章规定可以并处的行政处罚，从轻行政处罚或者减轻行政处罚时不选择适用，从重处罚选择适用。</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第十四条 案件调查终结报告、行政处罚决定书除载明规定事项外，还应当从当事人违法行为的主观过错、手段、后果等主观及客观方面说明不予、从轻、减轻、从重行政处罚的理由。</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第十五条 本规则及按照本规则制定的裁量基准不直接作为行政处罚的法律依据。</w:t>
      </w:r>
    </w:p>
    <w:p>
      <w:pPr>
        <w:spacing w:line="570" w:lineRule="exact"/>
        <w:ind w:firstLine="664" w:firstLineChars="200"/>
        <w:rPr>
          <w:rFonts w:ascii="仿宋" w:hAnsi="仿宋" w:eastAsia="仿宋"/>
          <w:spacing w:val="6"/>
          <w:sz w:val="32"/>
          <w:szCs w:val="32"/>
        </w:rPr>
      </w:pPr>
      <w:r>
        <w:rPr>
          <w:rFonts w:hint="eastAsia" w:ascii="仿宋" w:hAnsi="仿宋" w:eastAsia="仿宋"/>
          <w:spacing w:val="6"/>
          <w:sz w:val="32"/>
          <w:szCs w:val="32"/>
        </w:rPr>
        <w:t xml:space="preserve">第十六条 市场监督管理部门在执法监督时，发现行政处罚裁量违法或者不当的，应当及时予以纠正。 </w:t>
      </w:r>
    </w:p>
    <w:p>
      <w:pPr>
        <w:spacing w:line="570" w:lineRule="exact"/>
        <w:rPr>
          <w:rFonts w:ascii="仿宋" w:hAnsi="仿宋" w:eastAsia="仿宋"/>
          <w:spacing w:val="6"/>
          <w:sz w:val="32"/>
          <w:szCs w:val="32"/>
        </w:rPr>
      </w:pPr>
      <w:r>
        <w:rPr>
          <w:rFonts w:hint="eastAsia" w:ascii="仿宋" w:hAnsi="仿宋" w:eastAsia="仿宋"/>
          <w:spacing w:val="6"/>
          <w:sz w:val="32"/>
          <w:szCs w:val="32"/>
        </w:rPr>
        <w:t>第十七条 本规则自印发之日起施行。《自治区工商局关于修订行政处罚自由裁量权适用规则和执行标准（试行）的通知》（内工商法字〔2017〕7号）、《关于印发〈内蒙古自治区质量技术监督行政处罚自由裁量规则〉的通知》（内质监政发〔</w:t>
      </w:r>
      <w:r>
        <w:rPr>
          <w:rFonts w:ascii="仿宋" w:hAnsi="仿宋" w:eastAsia="仿宋"/>
          <w:spacing w:val="6"/>
          <w:sz w:val="32"/>
          <w:szCs w:val="32"/>
        </w:rPr>
        <w:t>2017</w:t>
      </w:r>
      <w:r>
        <w:rPr>
          <w:rFonts w:hint="eastAsia" w:ascii="仿宋" w:hAnsi="仿宋" w:eastAsia="仿宋"/>
          <w:spacing w:val="6"/>
          <w:sz w:val="32"/>
          <w:szCs w:val="32"/>
        </w:rPr>
        <w:t>〕43号）、《内蒙古自治区食品药品监督管理局关于印发〈内蒙古自治区食品药品行政处罚裁量权适用规则〉的通知》（内食药监〔</w:t>
      </w:r>
      <w:r>
        <w:rPr>
          <w:rFonts w:ascii="仿宋" w:hAnsi="仿宋" w:eastAsia="仿宋"/>
          <w:spacing w:val="6"/>
          <w:sz w:val="32"/>
          <w:szCs w:val="32"/>
        </w:rPr>
        <w:t>2017</w:t>
      </w:r>
      <w:r>
        <w:rPr>
          <w:rFonts w:hint="eastAsia" w:ascii="仿宋" w:hAnsi="仿宋" w:eastAsia="仿宋"/>
          <w:spacing w:val="6"/>
          <w:sz w:val="32"/>
          <w:szCs w:val="32"/>
        </w:rPr>
        <w:t>〕189号）同时废止。</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6C"/>
    <w:rsid w:val="0075195B"/>
    <w:rsid w:val="008B0557"/>
    <w:rsid w:val="008F614E"/>
    <w:rsid w:val="00AD2A40"/>
    <w:rsid w:val="00AF5ED1"/>
    <w:rsid w:val="00C92F6C"/>
    <w:rsid w:val="00DB0DC8"/>
    <w:rsid w:val="00DF044C"/>
    <w:rsid w:val="00E0589F"/>
    <w:rsid w:val="00E87D5D"/>
    <w:rsid w:val="00F33DE3"/>
    <w:rsid w:val="527E1D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2799</Words>
  <Characters>2821</Characters>
  <Lines>20</Lines>
  <Paragraphs>5</Paragraphs>
  <TotalTime>2</TotalTime>
  <ScaleCrop>false</ScaleCrop>
  <LinksUpToDate>false</LinksUpToDate>
  <CharactersWithSpaces>2852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2020-02-05T02:52:00Z</dcterms:created>
  <dc:creator>聂智煊</dc:creator>
  <cp:lastModifiedBy>王兔子</cp:lastModifiedBy>
  <dcterms:modified xsi:type="dcterms:W3CDTF">2022-08-05T02:28:40Z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13C8095952054621A095AFE86C3592F6</vt:lpwstr>
  </property>
</Properties>
</file>