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8B61E3">
      <w:pPr>
        <w:keepNext w:val="0"/>
        <w:keepLines w:val="0"/>
        <w:pageBreakBefore w:val="0"/>
        <w:widowControl w:val="0"/>
        <w:kinsoku/>
        <w:wordWrap/>
        <w:overflowPunct/>
        <w:topLinePunct w:val="0"/>
        <w:autoSpaceDE/>
        <w:autoSpaceDN/>
        <w:bidi w:val="0"/>
        <w:adjustRightInd/>
        <w:snapToGrid/>
        <w:spacing w:before="0" w:after="0" w:line="600" w:lineRule="exact"/>
        <w:ind w:left="0" w:right="0"/>
        <w:jc w:val="center"/>
        <w:textAlignment w:val="auto"/>
        <w:rPr>
          <w:rFonts w:hint="eastAsia" w:ascii="方正小标宋简体" w:hAnsi="方正小标宋简体" w:eastAsia="方正小标宋简体" w:cs="方正小标宋简体"/>
          <w:kern w:val="2"/>
          <w:sz w:val="44"/>
          <w:szCs w:val="44"/>
          <w:lang w:eastAsia="zh-CN"/>
        </w:rPr>
      </w:pPr>
      <w:r>
        <w:rPr>
          <w:rFonts w:hint="eastAsia" w:ascii="方正小标宋简体" w:hAnsi="方正小标宋简体" w:eastAsia="方正小标宋简体" w:cs="方正小标宋简体"/>
          <w:kern w:val="2"/>
          <w:sz w:val="44"/>
          <w:szCs w:val="44"/>
          <w:lang w:val="en-US" w:eastAsia="zh-CN"/>
        </w:rPr>
        <w:t>赤峰市松山区农牧局</w:t>
      </w:r>
      <w:r>
        <w:rPr>
          <w:rFonts w:hint="eastAsia" w:ascii="方正小标宋简体" w:hAnsi="方正小标宋简体" w:eastAsia="方正小标宋简体" w:cs="方正小标宋简体"/>
          <w:kern w:val="2"/>
          <w:sz w:val="44"/>
          <w:szCs w:val="44"/>
          <w:lang w:eastAsia="zh-CN"/>
        </w:rPr>
        <w:t>2026年中央财政</w:t>
      </w:r>
    </w:p>
    <w:p w14:paraId="16A728D8">
      <w:pPr>
        <w:keepNext w:val="0"/>
        <w:keepLines w:val="0"/>
        <w:pageBreakBefore w:val="0"/>
        <w:widowControl w:val="0"/>
        <w:kinsoku/>
        <w:wordWrap/>
        <w:overflowPunct/>
        <w:topLinePunct w:val="0"/>
        <w:autoSpaceDE/>
        <w:autoSpaceDN/>
        <w:bidi w:val="0"/>
        <w:adjustRightInd/>
        <w:snapToGrid/>
        <w:spacing w:before="0" w:after="0" w:line="600" w:lineRule="exact"/>
        <w:ind w:left="0" w:right="0"/>
        <w:jc w:val="center"/>
        <w:textAlignment w:val="auto"/>
        <w:rPr>
          <w:rFonts w:hint="eastAsia" w:ascii="方正小标宋简体" w:hAnsi="方正小标宋简体" w:eastAsia="方正小标宋简体" w:cs="方正小标宋简体"/>
          <w:kern w:val="2"/>
          <w:sz w:val="44"/>
          <w:szCs w:val="44"/>
          <w:lang w:eastAsia="zh-CN"/>
        </w:rPr>
      </w:pPr>
      <w:r>
        <w:rPr>
          <w:rFonts w:hint="eastAsia" w:ascii="方正小标宋简体" w:hAnsi="方正小标宋简体" w:eastAsia="方正小标宋简体" w:cs="方正小标宋简体"/>
          <w:kern w:val="2"/>
          <w:sz w:val="44"/>
          <w:szCs w:val="44"/>
          <w:lang w:eastAsia="zh-CN"/>
        </w:rPr>
        <w:t>农业社会化服务项目实施方案</w:t>
      </w:r>
    </w:p>
    <w:p w14:paraId="18968C7A">
      <w:pPr>
        <w:pStyle w:val="3"/>
        <w:keepNext w:val="0"/>
        <w:keepLines w:val="0"/>
        <w:pageBreakBefore w:val="0"/>
        <w:widowControl w:val="0"/>
        <w:kinsoku/>
        <w:wordWrap/>
        <w:overflowPunct/>
        <w:topLinePunct w:val="0"/>
        <w:bidi w:val="0"/>
        <w:adjustRightInd/>
        <w:snapToGrid/>
        <w:spacing w:before="0" w:line="560" w:lineRule="exact"/>
        <w:ind w:left="0" w:leftChars="0" w:right="0" w:firstLine="608" w:firstLineChars="200"/>
        <w:textAlignment w:val="auto"/>
        <w:rPr>
          <w:spacing w:val="-8"/>
          <w:lang w:val="en-US" w:eastAsia="zh-CN"/>
        </w:rPr>
      </w:pPr>
    </w:p>
    <w:p w14:paraId="127971A1">
      <w:pPr>
        <w:pStyle w:val="3"/>
        <w:keepNext w:val="0"/>
        <w:keepLines w:val="0"/>
        <w:pageBreakBefore w:val="0"/>
        <w:widowControl w:val="0"/>
        <w:kinsoku/>
        <w:wordWrap/>
        <w:overflowPunct/>
        <w:topLinePunct w:val="0"/>
        <w:bidi w:val="0"/>
        <w:adjustRightInd/>
        <w:snapToGrid/>
        <w:spacing w:before="0" w:line="560" w:lineRule="exact"/>
        <w:ind w:left="0" w:leftChars="0" w:right="0" w:firstLine="640" w:firstLineChars="200"/>
        <w:textAlignment w:val="auto"/>
        <w:rPr>
          <w:spacing w:val="-8"/>
          <w:lang w:val="en-US" w:eastAsia="zh-CN"/>
        </w:rPr>
      </w:pPr>
      <w:r>
        <w:rPr>
          <w:rFonts w:hint="eastAsia" w:ascii="仿宋_GB2312" w:hAnsi="仿宋_GB2312" w:eastAsia="仿宋_GB2312" w:cs="仿宋_GB2312"/>
          <w:sz w:val="32"/>
          <w:szCs w:val="32"/>
          <w:lang w:val="en-US" w:eastAsia="zh-CN" w:bidi="ar-SA"/>
        </w:rPr>
        <w:t>根据《赤峰市农牧局关于转发《内蒙古自治区2026年中央财政农业社会化服务项目实施方案》的通知（赤农牧改合发〔2026〕8号）相关要求，为组织实施好2026年度中央财政农业社会化服务项目，结合我区实际，制定本方案。</w:t>
      </w:r>
    </w:p>
    <w:p w14:paraId="1C25496C">
      <w:pPr>
        <w:pStyle w:val="3"/>
        <w:keepNext w:val="0"/>
        <w:keepLines w:val="0"/>
        <w:pageBreakBefore w:val="0"/>
        <w:widowControl w:val="0"/>
        <w:kinsoku/>
        <w:wordWrap/>
        <w:overflowPunct/>
        <w:topLinePunct w:val="0"/>
        <w:bidi w:val="0"/>
        <w:adjustRightInd/>
        <w:snapToGrid/>
        <w:spacing w:before="0" w:line="560" w:lineRule="exact"/>
        <w:ind w:right="0" w:firstLine="620" w:firstLineChars="200"/>
        <w:textAlignment w:val="auto"/>
        <w:rPr>
          <w:rFonts w:ascii="黑体" w:eastAsia="黑体"/>
          <w:spacing w:val="-5"/>
        </w:rPr>
      </w:pPr>
      <w:r>
        <w:rPr>
          <w:rFonts w:ascii="黑体" w:eastAsia="黑体"/>
          <w:spacing w:val="-5"/>
        </w:rPr>
        <w:t>一、目标任务</w:t>
      </w:r>
    </w:p>
    <w:p w14:paraId="6CFE695B">
      <w:pPr>
        <w:pStyle w:val="3"/>
        <w:keepNext w:val="0"/>
        <w:keepLines w:val="0"/>
        <w:pageBreakBefore w:val="0"/>
        <w:widowControl w:val="0"/>
        <w:kinsoku/>
        <w:wordWrap/>
        <w:overflowPunct/>
        <w:topLinePunct w:val="0"/>
        <w:bidi w:val="0"/>
        <w:adjustRightInd/>
        <w:snapToGrid/>
        <w:spacing w:before="0" w:line="560" w:lineRule="exact"/>
        <w:ind w:left="0" w:leftChars="0" w:right="0" w:firstLine="640" w:firstLineChars="200"/>
        <w:textAlignment w:val="auto"/>
        <w:rPr>
          <w:rFonts w:hint="default"/>
          <w:color w:val="auto"/>
          <w:lang w:val="en-US"/>
        </w:rPr>
      </w:pPr>
      <w:r>
        <w:rPr>
          <w:rFonts w:hint="eastAsia" w:ascii="仿宋_GB2312" w:hAnsi="仿宋_GB2312" w:eastAsia="仿宋_GB2312" w:cs="仿宋_GB2312"/>
          <w:sz w:val="32"/>
          <w:szCs w:val="32"/>
          <w:lang w:val="en-US" w:eastAsia="zh-CN" w:bidi="ar-SA"/>
        </w:rPr>
        <w:t>围绕实现小农户和现代农业有机衔接的主线，选择发展较充分、工作积极性高、基础条件好的乡镇作为实施区域，突出以小农户为主要服务对象，聚焦粮油作物等重要农产品供给薄弱环节，大力发展农业社会化服务。</w:t>
      </w:r>
      <w:r>
        <w:rPr>
          <w:rFonts w:hint="eastAsia" w:cs="仿宋_GB2312"/>
          <w:color w:val="auto"/>
          <w:sz w:val="32"/>
          <w:szCs w:val="32"/>
          <w:lang w:val="en-US" w:eastAsia="zh-CN" w:bidi="ar-SA"/>
        </w:rPr>
        <w:t>2023年-2025年剩余资金1327万元（2023年剩余408万元，2024年剩余539.26万元，2025年剩余379.82万元），</w:t>
      </w:r>
      <w:r>
        <w:rPr>
          <w:rFonts w:hint="eastAsia" w:ascii="仿宋_GB2312" w:hAnsi="仿宋_GB2312" w:eastAsia="仿宋_GB2312" w:cs="仿宋_GB2312"/>
          <w:color w:val="auto"/>
          <w:sz w:val="32"/>
          <w:szCs w:val="32"/>
          <w:lang w:val="en-US" w:eastAsia="zh-CN" w:bidi="ar-SA"/>
        </w:rPr>
        <w:t>2026年上级安排我区农业社会化服务项目资金1006万元，</w:t>
      </w:r>
      <w:r>
        <w:rPr>
          <w:rFonts w:hint="eastAsia" w:cs="仿宋_GB2312"/>
          <w:color w:val="auto"/>
          <w:sz w:val="32"/>
          <w:szCs w:val="32"/>
          <w:lang w:val="en-US" w:eastAsia="zh-CN" w:bidi="ar-SA"/>
        </w:rPr>
        <w:t>应实施总资金为2333万元，优先使用2026年指标资金，力争全部落实，如不能全部实施，剩余资金转下一年度实施。</w:t>
      </w:r>
    </w:p>
    <w:p w14:paraId="775FD633">
      <w:pPr>
        <w:pStyle w:val="3"/>
        <w:keepNext w:val="0"/>
        <w:keepLines w:val="0"/>
        <w:pageBreakBefore w:val="0"/>
        <w:widowControl w:val="0"/>
        <w:kinsoku/>
        <w:wordWrap/>
        <w:overflowPunct/>
        <w:topLinePunct w:val="0"/>
        <w:bidi w:val="0"/>
        <w:adjustRightInd/>
        <w:snapToGrid/>
        <w:spacing w:before="0" w:line="560" w:lineRule="exact"/>
        <w:ind w:right="0" w:firstLine="620" w:firstLineChars="200"/>
        <w:textAlignment w:val="auto"/>
        <w:rPr>
          <w:rFonts w:ascii="黑体" w:eastAsia="黑体"/>
        </w:rPr>
      </w:pPr>
      <w:r>
        <w:rPr>
          <w:rFonts w:ascii="黑体" w:eastAsia="黑体"/>
          <w:spacing w:val="-5"/>
        </w:rPr>
        <w:t>二、项目实施内容</w:t>
      </w:r>
    </w:p>
    <w:p w14:paraId="03312E1A">
      <w:pPr>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right="0" w:firstLine="632" w:firstLineChars="200"/>
        <w:textAlignment w:val="auto"/>
        <w:rPr>
          <w:rFonts w:hint="eastAsia" w:ascii="仿宋_GB2312" w:hAnsi="仿宋_GB2312" w:eastAsia="仿宋_GB2312" w:cs="仿宋_GB2312"/>
          <w:sz w:val="32"/>
          <w:szCs w:val="32"/>
          <w:lang w:val="en-US" w:eastAsia="zh-CN" w:bidi="ar-SA"/>
        </w:rPr>
      </w:pPr>
      <w:r>
        <w:rPr>
          <w:rFonts w:hint="eastAsia" w:ascii="楷体_GB2312" w:hAnsi="仿宋_GB2312" w:eastAsia="楷体_GB2312" w:cs="仿宋_GB2312"/>
          <w:spacing w:val="-2"/>
          <w:sz w:val="32"/>
          <w:szCs w:val="32"/>
          <w:lang w:val="en-US" w:eastAsia="zh-CN" w:bidi="ar-SA"/>
        </w:rPr>
        <w:t>（一）项目实施区域</w:t>
      </w:r>
      <w:r>
        <w:rPr>
          <w:rFonts w:hint="eastAsia" w:ascii="楷体_GB2312" w:eastAsia="楷体_GB2312" w:cs="仿宋_GB2312"/>
          <w:spacing w:val="-2"/>
          <w:sz w:val="32"/>
          <w:szCs w:val="32"/>
          <w:lang w:val="en-US" w:eastAsia="zh-CN" w:bidi="ar-SA"/>
        </w:rPr>
        <w:t>。</w:t>
      </w:r>
      <w:r>
        <w:rPr>
          <w:rFonts w:hint="eastAsia" w:ascii="仿宋_GB2312" w:hAnsi="仿宋_GB2312" w:eastAsia="仿宋_GB2312" w:cs="仿宋_GB2312"/>
          <w:sz w:val="32"/>
          <w:szCs w:val="32"/>
          <w:lang w:val="en-US" w:eastAsia="zh-CN" w:bidi="ar-SA"/>
        </w:rPr>
        <w:t>一是主要农畜产品产区，粮食、油料等重要农产品种植面积大，生产基础条件好。二是乡镇党委、政府重视，服务主体规范，项目管理措施健全，近两年内实施效果突出的乡镇。三是集中整体推进粮油作物大面积单产的乡镇纳入支持范围。四是近三年项目实施滞后、存在违规套补问题的乡镇，适度压减任务及资金规模。</w:t>
      </w:r>
    </w:p>
    <w:p w14:paraId="2E65DE56">
      <w:pPr>
        <w:pStyle w:val="3"/>
        <w:keepNext w:val="0"/>
        <w:keepLines w:val="0"/>
        <w:pageBreakBefore w:val="0"/>
        <w:widowControl w:val="0"/>
        <w:numPr>
          <w:ilvl w:val="0"/>
          <w:numId w:val="1"/>
        </w:numPr>
        <w:kinsoku/>
        <w:wordWrap/>
        <w:overflowPunct/>
        <w:topLinePunct w:val="0"/>
        <w:bidi w:val="0"/>
        <w:adjustRightInd/>
        <w:snapToGrid/>
        <w:spacing w:before="0" w:line="560" w:lineRule="exact"/>
        <w:ind w:left="0" w:leftChars="0" w:right="0" w:firstLine="600" w:firstLineChars="200"/>
        <w:textAlignment w:val="auto"/>
        <w:rPr>
          <w:rFonts w:hint="default" w:ascii="仿宋_GB2312" w:hAnsi="仿宋_GB2312" w:eastAsia="仿宋_GB2312" w:cs="仿宋_GB2312"/>
          <w:sz w:val="32"/>
          <w:szCs w:val="32"/>
          <w:lang w:val="en-US" w:eastAsia="zh-CN" w:bidi="ar-SA"/>
        </w:rPr>
      </w:pPr>
      <w:r>
        <w:rPr>
          <w:rFonts w:hint="eastAsia" w:ascii="楷体_GB2312" w:eastAsia="楷体_GB2312"/>
          <w:spacing w:val="-10"/>
        </w:rPr>
        <w:t>项目支持方向</w:t>
      </w:r>
      <w:r>
        <w:rPr>
          <w:rFonts w:hint="eastAsia" w:ascii="楷体_GB2312" w:eastAsia="楷体_GB2312"/>
          <w:spacing w:val="-10"/>
          <w:lang w:eastAsia="zh-CN"/>
        </w:rPr>
        <w:t>。</w:t>
      </w:r>
      <w:r>
        <w:rPr>
          <w:rFonts w:hint="eastAsia" w:ascii="仿宋_GB2312" w:hAnsi="仿宋_GB2312" w:eastAsia="仿宋_GB2312" w:cs="仿宋_GB2312"/>
          <w:sz w:val="32"/>
          <w:szCs w:val="32"/>
          <w:lang w:val="en-US" w:eastAsia="zh-CN" w:bidi="ar-SA"/>
        </w:rPr>
        <w:t>聚焦粮油等重要农产品大面积单产提升，促进单产提升主推技术落地。重点支持集中育苗（秧）、联合整地、精量播种、水肥一体化、机收减损、烘干、仓储、秸秆还田、残膜回收等薄弱环节。我区结合实际确定薄弱环节，用于支持薄弱环节的资金量不得低于50％，服务组织实施薄弱环节需达到两个及以上。</w:t>
      </w:r>
    </w:p>
    <w:p w14:paraId="3114E586">
      <w:pPr>
        <w:pStyle w:val="3"/>
        <w:keepNext w:val="0"/>
        <w:keepLines w:val="0"/>
        <w:pageBreakBefore w:val="0"/>
        <w:widowControl w:val="0"/>
        <w:kinsoku/>
        <w:wordWrap/>
        <w:overflowPunct/>
        <w:topLinePunct w:val="0"/>
        <w:bidi w:val="0"/>
        <w:adjustRightInd/>
        <w:snapToGrid/>
        <w:spacing w:before="0" w:line="560" w:lineRule="exact"/>
        <w:ind w:right="0" w:firstLine="624" w:firstLineChars="200"/>
        <w:textAlignment w:val="auto"/>
        <w:rPr>
          <w:rFonts w:hint="eastAsia" w:eastAsia="楷体_GB2312"/>
          <w:lang w:eastAsia="zh-CN"/>
        </w:rPr>
      </w:pPr>
      <w:r>
        <w:rPr>
          <w:rFonts w:hint="eastAsia" w:ascii="楷体_GB2312" w:eastAsia="楷体_GB2312"/>
          <w:spacing w:val="-4"/>
        </w:rPr>
        <w:t>（三）补助对象和补助标准</w:t>
      </w:r>
      <w:r>
        <w:rPr>
          <w:rFonts w:hint="eastAsia" w:ascii="楷体_GB2312" w:eastAsia="楷体_GB2312"/>
          <w:spacing w:val="-4"/>
          <w:lang w:eastAsia="zh-CN"/>
        </w:rPr>
        <w:t>。</w:t>
      </w:r>
    </w:p>
    <w:p w14:paraId="22229999">
      <w:pPr>
        <w:pStyle w:val="3"/>
        <w:keepNext w:val="0"/>
        <w:keepLines w:val="0"/>
        <w:pageBreakBefore w:val="0"/>
        <w:widowControl w:val="0"/>
        <w:kinsoku/>
        <w:wordWrap/>
        <w:overflowPunct/>
        <w:topLinePunct w:val="0"/>
        <w:bidi w:val="0"/>
        <w:adjustRightInd/>
        <w:snapToGrid/>
        <w:spacing w:before="0" w:line="560" w:lineRule="exact"/>
        <w:ind w:right="0" w:firstLine="635" w:firstLineChars="200"/>
        <w:textAlignment w:val="auto"/>
        <w:rPr>
          <w:rFonts w:hint="eastAsia" w:ascii="仿宋_GB2312" w:hAnsi="仿宋_GB2312" w:eastAsia="仿宋_GB2312" w:cs="仿宋_GB2312"/>
          <w:sz w:val="32"/>
          <w:szCs w:val="32"/>
          <w:lang w:val="en-US" w:eastAsia="zh-CN" w:bidi="ar-SA"/>
        </w:rPr>
      </w:pPr>
      <w:r>
        <w:rPr>
          <w:rFonts w:hint="eastAsia" w:ascii="仿宋" w:hAnsi="仿宋" w:eastAsia="仿宋" w:cs="仿宋"/>
          <w:b/>
          <w:bCs/>
          <w:spacing w:val="-2"/>
          <w:lang w:val="en-US" w:eastAsia="zh-CN"/>
        </w:rPr>
        <w:t>1、</w:t>
      </w:r>
      <w:r>
        <w:rPr>
          <w:rFonts w:hint="eastAsia" w:ascii="仿宋" w:hAnsi="仿宋" w:eastAsia="仿宋" w:cs="仿宋"/>
          <w:b/>
          <w:bCs/>
          <w:spacing w:val="-2"/>
        </w:rPr>
        <w:t>补助对象。</w:t>
      </w:r>
      <w:r>
        <w:rPr>
          <w:rFonts w:hint="eastAsia" w:ascii="仿宋_GB2312" w:hAnsi="仿宋_GB2312" w:eastAsia="仿宋_GB2312" w:cs="仿宋_GB2312"/>
          <w:sz w:val="32"/>
          <w:szCs w:val="32"/>
          <w:lang w:val="en-US" w:eastAsia="zh-CN" w:bidi="ar-SA"/>
        </w:rPr>
        <w:t>项目实施区内为农业生产提供产前、产中、产后服务的农民合作社、家庭农牧场、农牧业服务企业等服务主体，优先支持承担粮油作物大面积单产提升任务的服务主体承接项目。</w:t>
      </w:r>
    </w:p>
    <w:p w14:paraId="7D4BEA4C">
      <w:pPr>
        <w:pStyle w:val="3"/>
        <w:keepNext w:val="0"/>
        <w:keepLines w:val="0"/>
        <w:pageBreakBefore w:val="0"/>
        <w:widowControl w:val="0"/>
        <w:kinsoku/>
        <w:wordWrap/>
        <w:overflowPunct/>
        <w:topLinePunct w:val="0"/>
        <w:bidi w:val="0"/>
        <w:adjustRightInd/>
        <w:snapToGrid/>
        <w:spacing w:before="0" w:line="560" w:lineRule="exact"/>
        <w:ind w:left="0" w:leftChars="0" w:right="0" w:firstLine="635" w:firstLineChars="200"/>
        <w:textAlignment w:val="auto"/>
        <w:rPr>
          <w:rFonts w:hint="default" w:ascii="仿宋_GB2312" w:hAnsi="仿宋_GB2312" w:eastAsia="仿宋_GB2312" w:cs="仿宋_GB2312"/>
          <w:color w:val="FF0000"/>
          <w:sz w:val="32"/>
          <w:szCs w:val="32"/>
          <w:lang w:val="en-US" w:eastAsia="zh-CN" w:bidi="ar-SA"/>
        </w:rPr>
      </w:pPr>
      <w:r>
        <w:rPr>
          <w:rFonts w:hint="eastAsia" w:ascii="仿宋" w:hAnsi="仿宋" w:eastAsia="仿宋" w:cs="仿宋"/>
          <w:b/>
          <w:bCs/>
          <w:spacing w:val="-2"/>
          <w:lang w:val="en-US" w:eastAsia="zh-CN"/>
        </w:rPr>
        <w:t>2、</w:t>
      </w:r>
      <w:r>
        <w:rPr>
          <w:rFonts w:hint="eastAsia" w:ascii="仿宋" w:hAnsi="仿宋" w:eastAsia="仿宋" w:cs="仿宋"/>
          <w:b/>
          <w:bCs/>
          <w:spacing w:val="-2"/>
        </w:rPr>
        <w:t>补助标准。</w:t>
      </w:r>
      <w:r>
        <w:rPr>
          <w:rFonts w:hint="eastAsia" w:ascii="仿宋_GB2312" w:hAnsi="仿宋_GB2312" w:eastAsia="仿宋_GB2312" w:cs="仿宋_GB2312"/>
          <w:sz w:val="32"/>
          <w:szCs w:val="32"/>
          <w:lang w:val="en-US" w:eastAsia="zh-CN" w:bidi="ar-SA"/>
        </w:rPr>
        <w:t>①我区根据当地实际，分别确定小农户和其他服务对象的补助标准。安排服务小农户（土地经营规模不超过当地户均承包地面积10倍的农业经营户）的补助资金和面积占比应高于60%，项目实施中不得对单独给规模经营主体服务的面积进行补助。②财政补助占服务价格的比例不超过30%，单季作物亩均补助总量不超过100元；③原则上，同一地块的同一作业环节不得重复享受补贴。④项目区结合本地实际，对于服务市场发育较好、农民认知和接受程度较高的环节，对其补助标准可相应逐步降低；对于市场机制运作基本成熟、农户已广泛接受的单一环节服务，原则上不予补助。</w:t>
      </w:r>
      <w:r>
        <w:rPr>
          <w:rFonts w:hint="eastAsia" w:ascii="微软雅黑" w:hAnsi="微软雅黑" w:eastAsia="微软雅黑" w:cs="微软雅黑"/>
          <w:color w:val="auto"/>
          <w:sz w:val="32"/>
          <w:szCs w:val="32"/>
          <w:lang w:val="en-US" w:eastAsia="zh-CN" w:bidi="ar-SA"/>
        </w:rPr>
        <w:t>⑤</w:t>
      </w:r>
      <w:r>
        <w:rPr>
          <w:rFonts w:hint="eastAsia" w:ascii="仿宋_GB2312" w:hAnsi="仿宋_GB2312" w:eastAsia="仿宋_GB2312" w:cs="仿宋_GB2312"/>
          <w:color w:val="auto"/>
          <w:sz w:val="32"/>
          <w:szCs w:val="32"/>
          <w:lang w:val="en-US" w:eastAsia="zh-CN" w:bidi="ar-SA"/>
        </w:rPr>
        <w:t>若</w:t>
      </w:r>
      <w:r>
        <w:rPr>
          <w:rFonts w:hint="eastAsia" w:cs="仿宋_GB2312"/>
          <w:color w:val="auto"/>
          <w:sz w:val="32"/>
          <w:szCs w:val="32"/>
          <w:lang w:val="en-US" w:eastAsia="zh-CN" w:bidi="ar-SA"/>
        </w:rPr>
        <w:t>入围的所有</w:t>
      </w:r>
      <w:r>
        <w:rPr>
          <w:rFonts w:hint="eastAsia" w:ascii="仿宋_GB2312" w:hAnsi="仿宋_GB2312" w:eastAsia="仿宋_GB2312" w:cs="仿宋_GB2312"/>
          <w:color w:val="auto"/>
          <w:sz w:val="32"/>
          <w:szCs w:val="32"/>
          <w:lang w:val="en-US" w:eastAsia="zh-CN" w:bidi="ar-SA"/>
        </w:rPr>
        <w:t>服务组织</w:t>
      </w:r>
      <w:r>
        <w:rPr>
          <w:rFonts w:hint="eastAsia" w:cs="仿宋_GB2312"/>
          <w:color w:val="auto"/>
          <w:sz w:val="32"/>
          <w:szCs w:val="32"/>
          <w:lang w:val="en-US" w:eastAsia="zh-CN" w:bidi="ar-SA"/>
        </w:rPr>
        <w:t>补贴资金超出指标资金，按照相同比例核减所有服务项目的补贴标准。</w:t>
      </w:r>
    </w:p>
    <w:p w14:paraId="735D6B3A">
      <w:pPr>
        <w:pStyle w:val="6"/>
        <w:keepNext w:val="0"/>
        <w:keepLines w:val="0"/>
        <w:pageBreakBefore w:val="0"/>
        <w:widowControl w:val="0"/>
        <w:numPr>
          <w:ilvl w:val="0"/>
          <w:numId w:val="0"/>
        </w:numPr>
        <w:tabs>
          <w:tab w:val="left" w:pos="990"/>
        </w:tabs>
        <w:kinsoku/>
        <w:wordWrap/>
        <w:overflowPunct/>
        <w:topLinePunct w:val="0"/>
        <w:autoSpaceDE w:val="0"/>
        <w:autoSpaceDN w:val="0"/>
        <w:bidi w:val="0"/>
        <w:adjustRightInd/>
        <w:snapToGrid/>
        <w:spacing w:before="0" w:after="0" w:line="560" w:lineRule="exact"/>
        <w:ind w:left="0" w:leftChars="0" w:right="0" w:rightChars="0" w:firstLine="632" w:firstLineChars="200"/>
        <w:jc w:val="both"/>
        <w:textAlignment w:val="auto"/>
        <w:rPr>
          <w:rFonts w:hint="eastAsia" w:ascii="仿宋_GB2312" w:hAnsi="仿宋_GB2312" w:eastAsia="仿宋_GB2312" w:cs="仿宋_GB2312"/>
          <w:sz w:val="32"/>
          <w:szCs w:val="32"/>
          <w:lang w:val="en-US" w:eastAsia="zh-CN" w:bidi="ar-SA"/>
        </w:rPr>
      </w:pPr>
      <w:r>
        <w:rPr>
          <w:rFonts w:hint="eastAsia" w:ascii="楷体_GB2312" w:hAnsi="仿宋_GB2312" w:eastAsia="楷体_GB2312" w:cs="仿宋_GB2312"/>
          <w:spacing w:val="-2"/>
          <w:sz w:val="32"/>
          <w:szCs w:val="32"/>
          <w:lang w:val="en-US" w:eastAsia="zh-CN" w:bidi="ar-SA"/>
        </w:rPr>
        <w:t>（四）支持方式</w:t>
      </w:r>
      <w:r>
        <w:rPr>
          <w:rFonts w:hint="eastAsia" w:ascii="楷体_GB2312" w:eastAsia="楷体_GB2312" w:cs="仿宋_GB2312"/>
          <w:spacing w:val="-2"/>
          <w:sz w:val="32"/>
          <w:szCs w:val="32"/>
          <w:lang w:val="en-US" w:eastAsia="zh-CN" w:bidi="ar-SA"/>
        </w:rPr>
        <w:t>。</w:t>
      </w:r>
      <w:r>
        <w:rPr>
          <w:rFonts w:hint="eastAsia" w:ascii="仿宋_GB2312" w:hAnsi="仿宋_GB2312" w:eastAsia="仿宋_GB2312" w:cs="仿宋_GB2312"/>
          <w:sz w:val="32"/>
          <w:szCs w:val="32"/>
          <w:lang w:val="en-US" w:eastAsia="zh-CN" w:bidi="ar-SA"/>
        </w:rPr>
        <w:t>采取“服务——验收——补助”的方式。面向小农户开展的服务，补助资金分配比例由服务主体和补助农户自行协商，坚持让小农户最终受益。</w:t>
      </w:r>
    </w:p>
    <w:p w14:paraId="3127F99A">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leftChars="0" w:right="0" w:firstLine="620" w:firstLineChars="200"/>
        <w:textAlignment w:val="auto"/>
        <w:rPr>
          <w:rFonts w:ascii="黑体" w:eastAsia="黑体"/>
        </w:rPr>
      </w:pPr>
      <w:r>
        <w:rPr>
          <w:rFonts w:ascii="黑体" w:eastAsia="黑体"/>
          <w:spacing w:val="-5"/>
        </w:rPr>
        <w:t>三、项目实施流程</w:t>
      </w:r>
    </w:p>
    <w:p w14:paraId="4F39DF83">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leftChars="0" w:right="0" w:firstLine="632" w:firstLineChars="200"/>
        <w:textAlignment w:val="auto"/>
        <w:rPr>
          <w:rFonts w:hint="eastAsia" w:ascii="仿宋_GB2312" w:hAnsi="仿宋_GB2312" w:eastAsia="仿宋_GB2312" w:cs="仿宋_GB2312"/>
          <w:sz w:val="32"/>
          <w:szCs w:val="32"/>
          <w:lang w:val="en-US" w:eastAsia="zh-CN" w:bidi="ar-SA"/>
        </w:rPr>
      </w:pPr>
      <w:r>
        <w:rPr>
          <w:rFonts w:hint="eastAsia" w:ascii="楷体_GB2312" w:eastAsia="楷体_GB2312"/>
          <w:spacing w:val="-2"/>
        </w:rPr>
        <w:t>（一</w:t>
      </w:r>
      <w:r>
        <w:rPr>
          <w:rFonts w:hint="eastAsia" w:ascii="楷体_GB2312" w:eastAsia="楷体_GB2312"/>
          <w:spacing w:val="-58"/>
        </w:rPr>
        <w:t>）</w:t>
      </w:r>
      <w:r>
        <w:rPr>
          <w:rFonts w:hint="eastAsia" w:ascii="楷体_GB2312" w:eastAsia="楷体_GB2312"/>
          <w:spacing w:val="-2"/>
        </w:rPr>
        <w:t>项目准备阶段</w:t>
      </w:r>
      <w:r>
        <w:rPr>
          <w:spacing w:val="-10"/>
        </w:rPr>
        <w:t>。</w:t>
      </w:r>
      <w:r>
        <w:rPr>
          <w:rFonts w:hint="eastAsia"/>
          <w:spacing w:val="-10"/>
          <w:lang w:val="en-US" w:eastAsia="zh-CN"/>
        </w:rPr>
        <w:t>松</w:t>
      </w:r>
      <w:r>
        <w:rPr>
          <w:rFonts w:hint="eastAsia" w:ascii="仿宋_GB2312" w:hAnsi="仿宋_GB2312" w:eastAsia="仿宋_GB2312" w:cs="仿宋_GB2312"/>
          <w:sz w:val="32"/>
          <w:szCs w:val="32"/>
          <w:lang w:val="en-US" w:eastAsia="zh-CN" w:bidi="ar-SA"/>
        </w:rPr>
        <w:t>山区农牧局负责制定本级项目实施方案，方案细化项目申报、主体选取、实施内容、支持对象、实施范围、实施面积、补助环节及标准、补助方式、监督检查、项目验收、资金监管、绩效评价等内容。项目方案通过线上线下多种途径公开公示，开展政策宣讲和业务培训，并及时报市农牧局备案。</w:t>
      </w:r>
    </w:p>
    <w:p w14:paraId="60CDA7B3">
      <w:pPr>
        <w:pStyle w:val="3"/>
        <w:keepNext w:val="0"/>
        <w:keepLines w:val="0"/>
        <w:pageBreakBefore w:val="0"/>
        <w:widowControl w:val="0"/>
        <w:kinsoku/>
        <w:wordWrap/>
        <w:overflowPunct/>
        <w:topLinePunct w:val="0"/>
        <w:bidi w:val="0"/>
        <w:adjustRightInd/>
        <w:snapToGrid/>
        <w:spacing w:before="0" w:line="560" w:lineRule="exact"/>
        <w:ind w:left="0" w:leftChars="0" w:right="0" w:firstLine="624" w:firstLineChars="200"/>
        <w:textAlignment w:val="auto"/>
        <w:rPr>
          <w:rFonts w:hint="eastAsia" w:ascii="楷体_GB2312" w:eastAsia="楷体_GB2312"/>
          <w:lang w:eastAsia="zh-CN"/>
        </w:rPr>
      </w:pPr>
      <w:r>
        <w:rPr>
          <w:rFonts w:hint="eastAsia" w:ascii="楷体_GB2312" w:eastAsia="楷体_GB2312"/>
          <w:spacing w:val="-4"/>
        </w:rPr>
        <w:t>（二）</w:t>
      </w:r>
      <w:r>
        <w:rPr>
          <w:rFonts w:hint="eastAsia" w:ascii="楷体_GB2312" w:eastAsia="楷体_GB2312"/>
          <w:spacing w:val="-5"/>
        </w:rPr>
        <w:t>项目实施阶段</w:t>
      </w:r>
      <w:r>
        <w:rPr>
          <w:rFonts w:hint="eastAsia" w:ascii="楷体_GB2312" w:eastAsia="楷体_GB2312"/>
          <w:spacing w:val="-5"/>
          <w:lang w:eastAsia="zh-CN"/>
        </w:rPr>
        <w:t>。</w:t>
      </w:r>
    </w:p>
    <w:p w14:paraId="5B718B6C">
      <w:pPr>
        <w:pStyle w:val="6"/>
        <w:keepNext w:val="0"/>
        <w:keepLines w:val="0"/>
        <w:pageBreakBefore w:val="0"/>
        <w:widowControl w:val="0"/>
        <w:numPr>
          <w:ilvl w:val="0"/>
          <w:numId w:val="0"/>
        </w:numPr>
        <w:tabs>
          <w:tab w:val="left" w:pos="989"/>
        </w:tabs>
        <w:kinsoku/>
        <w:wordWrap/>
        <w:overflowPunct/>
        <w:topLinePunct w:val="0"/>
        <w:bidi w:val="0"/>
        <w:adjustRightInd/>
        <w:snapToGrid/>
        <w:spacing w:before="0" w:after="0" w:line="560" w:lineRule="exact"/>
        <w:ind w:right="0" w:rightChars="0" w:firstLine="643" w:firstLineChars="200"/>
        <w:jc w:val="both"/>
        <w:textAlignment w:val="auto"/>
        <w:rPr>
          <w:rFonts w:hint="eastAsia" w:ascii="仿宋_GB2312" w:hAnsi="仿宋_GB2312" w:eastAsia="仿宋_GB2312" w:cs="仿宋_GB2312"/>
          <w:sz w:val="32"/>
          <w:szCs w:val="32"/>
          <w:lang w:val="en-US" w:eastAsia="zh-CN" w:bidi="ar-SA"/>
        </w:rPr>
      </w:pPr>
      <w:r>
        <w:rPr>
          <w:rFonts w:hint="eastAsia" w:cs="仿宋_GB2312"/>
          <w:b/>
          <w:bCs/>
          <w:sz w:val="32"/>
          <w:szCs w:val="32"/>
          <w:lang w:val="en-US" w:eastAsia="zh-CN" w:bidi="ar-SA"/>
        </w:rPr>
        <w:t>1、</w:t>
      </w:r>
      <w:r>
        <w:rPr>
          <w:rFonts w:hint="eastAsia" w:ascii="仿宋_GB2312" w:hAnsi="仿宋_GB2312" w:eastAsia="仿宋_GB2312" w:cs="仿宋_GB2312"/>
          <w:b/>
          <w:bCs/>
          <w:sz w:val="32"/>
          <w:szCs w:val="32"/>
          <w:lang w:val="en-US" w:eastAsia="zh-CN" w:bidi="ar-SA"/>
        </w:rPr>
        <w:t>主体遴选。</w:t>
      </w:r>
      <w:r>
        <w:rPr>
          <w:rFonts w:hint="eastAsia" w:ascii="仿宋_GB2312" w:hAnsi="仿宋_GB2312" w:eastAsia="仿宋_GB2312" w:cs="仿宋_GB2312"/>
          <w:sz w:val="32"/>
          <w:szCs w:val="32"/>
          <w:lang w:val="en-US" w:eastAsia="zh-CN" w:bidi="ar-SA"/>
        </w:rPr>
        <w:t>我区按照公平竞争、规范择优的方式，结合本地实际，制定具体服务主体遴选标准和程序，根据年初下发</w:t>
      </w:r>
      <w:r>
        <w:rPr>
          <w:rFonts w:hint="eastAsia" w:cs="仿宋_GB2312"/>
          <w:sz w:val="32"/>
          <w:szCs w:val="32"/>
          <w:lang w:val="en-US" w:eastAsia="zh-CN" w:bidi="ar-SA"/>
        </w:rPr>
        <w:t>的</w:t>
      </w:r>
      <w:r>
        <w:rPr>
          <w:rFonts w:hint="eastAsia" w:ascii="仿宋_GB2312" w:hAnsi="仿宋_GB2312" w:eastAsia="仿宋_GB2312" w:cs="仿宋_GB2312"/>
          <w:sz w:val="32"/>
          <w:szCs w:val="32"/>
          <w:lang w:val="en-US" w:eastAsia="zh-CN" w:bidi="ar-SA"/>
        </w:rPr>
        <w:t>通知和制定的实施方案，符合条件的服务组织于2026年8月25前向乡镇政府申报，承担项目的服务主体须具备以下条件：①具有农业社会化服务实践经验，原则上从事社会化服务两年以上。②拥有与其服务业务范围、服务能力相匹配的专业农业机械设备、技术人员以及其他基础条件。③在农民群众中享有良好的信誉，所提供的服务在质量和价格方面受到服务对象的普遍认可。④充分考虑本地承包面积、服务主体数量等因素，我区承担项目任务的服务主体数量不少于3家，鼓励在本辖区内跨乡镇开展集中连片服务。⑤自觉接受农业社会化服务行业管理部门的监管。</w:t>
      </w:r>
    </w:p>
    <w:p w14:paraId="2ACB284C">
      <w:pPr>
        <w:pStyle w:val="3"/>
        <w:keepNext w:val="0"/>
        <w:keepLines w:val="0"/>
        <w:pageBreakBefore w:val="0"/>
        <w:widowControl w:val="0"/>
        <w:kinsoku/>
        <w:wordWrap/>
        <w:overflowPunct/>
        <w:topLinePunct w:val="0"/>
        <w:bidi w:val="0"/>
        <w:adjustRightInd/>
        <w:snapToGrid/>
        <w:spacing w:before="0" w:line="560" w:lineRule="exact"/>
        <w:ind w:left="0" w:leftChars="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松山区农牧局根据方案要求，结合年初向乡镇政府下发的通知，严格按规定履行主体资格审查程序，加强对服务主体申报资料的审核，遴选结果要通过线上线下等渠道公开公示。</w:t>
      </w:r>
    </w:p>
    <w:p w14:paraId="7FE755FC">
      <w:pPr>
        <w:pStyle w:val="3"/>
        <w:keepNext w:val="0"/>
        <w:keepLines w:val="0"/>
        <w:pageBreakBefore w:val="0"/>
        <w:widowControl w:val="0"/>
        <w:kinsoku/>
        <w:wordWrap/>
        <w:overflowPunct/>
        <w:topLinePunct w:val="0"/>
        <w:bidi w:val="0"/>
        <w:adjustRightInd/>
        <w:snapToGrid/>
        <w:spacing w:before="0" w:line="560" w:lineRule="exact"/>
        <w:ind w:left="0" w:leftChars="0" w:right="0" w:firstLine="643"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b/>
          <w:bCs/>
          <w:sz w:val="32"/>
          <w:szCs w:val="32"/>
          <w:lang w:val="en-US" w:eastAsia="zh-CN" w:bidi="ar-SA"/>
        </w:rPr>
        <w:t>2</w:t>
      </w:r>
      <w:r>
        <w:rPr>
          <w:rFonts w:hint="eastAsia" w:cs="仿宋_GB2312"/>
          <w:b/>
          <w:bCs/>
          <w:sz w:val="32"/>
          <w:szCs w:val="32"/>
          <w:lang w:val="en-US" w:eastAsia="zh-CN" w:bidi="ar-SA"/>
        </w:rPr>
        <w:t>、</w:t>
      </w:r>
      <w:r>
        <w:rPr>
          <w:rFonts w:hint="eastAsia" w:ascii="仿宋_GB2312" w:hAnsi="仿宋_GB2312" w:eastAsia="仿宋_GB2312" w:cs="仿宋_GB2312"/>
          <w:b/>
          <w:bCs/>
          <w:sz w:val="32"/>
          <w:szCs w:val="32"/>
          <w:lang w:val="en-US" w:eastAsia="zh-CN" w:bidi="ar-SA"/>
        </w:rPr>
        <w:t>签订服务合同。</w:t>
      </w:r>
      <w:r>
        <w:rPr>
          <w:rFonts w:hint="eastAsia" w:ascii="仿宋_GB2312" w:hAnsi="仿宋_GB2312" w:eastAsia="仿宋_GB2312" w:cs="仿宋_GB2312"/>
          <w:sz w:val="32"/>
          <w:szCs w:val="32"/>
          <w:lang w:val="en-US" w:eastAsia="zh-CN" w:bidi="ar-SA"/>
        </w:rPr>
        <w:t>我区研究制定并推广使用符合当地实际的服务标准和服务合同文本，指导服务主体与服务对象签订服务合同，明确服务地块、内容、期限、费用、补助标准、质量要求、付款方式及时间、违约责任等内容，督促服务主体按照合同要求提供相关服务，规范服务行为，保障服务质量，维护农户利益。</w:t>
      </w:r>
    </w:p>
    <w:p w14:paraId="112F2F2F">
      <w:pPr>
        <w:pStyle w:val="6"/>
        <w:keepNext w:val="0"/>
        <w:keepLines w:val="0"/>
        <w:pageBreakBefore w:val="0"/>
        <w:widowControl w:val="0"/>
        <w:numPr>
          <w:ilvl w:val="0"/>
          <w:numId w:val="0"/>
        </w:numPr>
        <w:tabs>
          <w:tab w:val="left" w:pos="990"/>
        </w:tabs>
        <w:kinsoku/>
        <w:wordWrap/>
        <w:overflowPunct/>
        <w:topLinePunct w:val="0"/>
        <w:bidi w:val="0"/>
        <w:adjustRightInd/>
        <w:snapToGrid/>
        <w:spacing w:before="0" w:after="0" w:line="560" w:lineRule="exact"/>
        <w:ind w:left="0" w:leftChars="0" w:right="0" w:rightChars="0" w:firstLine="643"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b/>
          <w:bCs/>
          <w:sz w:val="32"/>
          <w:szCs w:val="32"/>
          <w:lang w:val="en-US" w:eastAsia="zh-CN" w:bidi="ar-SA"/>
        </w:rPr>
        <w:t>3</w:t>
      </w:r>
      <w:r>
        <w:rPr>
          <w:rFonts w:hint="eastAsia" w:cs="仿宋_GB2312"/>
          <w:b/>
          <w:bCs/>
          <w:sz w:val="32"/>
          <w:szCs w:val="32"/>
          <w:lang w:val="en-US" w:eastAsia="zh-CN" w:bidi="ar-SA"/>
        </w:rPr>
        <w:t>、</w:t>
      </w:r>
      <w:r>
        <w:rPr>
          <w:rFonts w:hint="eastAsia" w:ascii="仿宋_GB2312" w:hAnsi="仿宋_GB2312" w:eastAsia="仿宋_GB2312" w:cs="仿宋_GB2312"/>
          <w:b/>
          <w:bCs/>
          <w:sz w:val="32"/>
          <w:szCs w:val="32"/>
          <w:lang w:val="en-US" w:eastAsia="zh-CN" w:bidi="ar-SA"/>
        </w:rPr>
        <w:t>监督项目实施。</w:t>
      </w:r>
      <w:r>
        <w:rPr>
          <w:rFonts w:hint="eastAsia" w:ascii="仿宋_GB2312" w:hAnsi="仿宋_GB2312" w:eastAsia="仿宋_GB2312" w:cs="仿宋_GB2312"/>
          <w:sz w:val="32"/>
          <w:szCs w:val="32"/>
          <w:lang w:val="en-US" w:eastAsia="zh-CN" w:bidi="ar-SA"/>
        </w:rPr>
        <w:t>松山区农牧局定期调度、指导和抽查服务主体项目任务执行情况，及时掌握项目任务实施情况，妥善处理项目任务执行中的突出问题，按计划完成项目任务。将承担项目的服务主体全部纳入名录库管理，做好信息录入和动态更新等工作，指导承担项目的新型农业经营主体录入全国新型农业经营主体和农业社会化服务信息系统。我局通过跟踪服务主体的服务过程和服务质量，建立服务主体“黑名单”制度，对弄虚作假、骗补套补、转包分包、质量不达标、农民投诉多的服务主体，一律清出名录库，纳入“黑名单”，连续五年不得承担中央财政资金支持的农业社会化服务项目。项目实施乡镇做好项目实施全过程相关文件、现场照片、检查验收和宣传培训等资料的收集、整理、留存，对相关材料及时规范归档。</w:t>
      </w:r>
    </w:p>
    <w:p w14:paraId="3FF08547">
      <w:pPr>
        <w:pStyle w:val="3"/>
        <w:keepNext w:val="0"/>
        <w:keepLines w:val="0"/>
        <w:pageBreakBefore w:val="0"/>
        <w:widowControl w:val="0"/>
        <w:kinsoku/>
        <w:wordWrap/>
        <w:overflowPunct/>
        <w:topLinePunct w:val="0"/>
        <w:bidi w:val="0"/>
        <w:adjustRightInd/>
        <w:snapToGrid/>
        <w:spacing w:before="0" w:line="560" w:lineRule="exact"/>
        <w:ind w:left="0" w:leftChars="0" w:righ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楷体" w:hAnsi="楷体" w:eastAsia="楷体" w:cs="楷体"/>
          <w:sz w:val="32"/>
          <w:szCs w:val="32"/>
          <w:lang w:val="en-US" w:eastAsia="zh-CN" w:bidi="ar-SA"/>
        </w:rPr>
        <w:t>（三）项目验收和资金拨付阶段。</w:t>
      </w:r>
      <w:r>
        <w:rPr>
          <w:rFonts w:hint="eastAsia" w:ascii="仿宋_GB2312" w:hAnsi="仿宋_GB2312" w:eastAsia="仿宋_GB2312" w:cs="仿宋_GB2312"/>
          <w:sz w:val="32"/>
          <w:szCs w:val="32"/>
          <w:lang w:val="en-US" w:eastAsia="zh-CN" w:bidi="ar-SA"/>
        </w:rPr>
        <w:t>区农牧局要加强项目验收的指导和管理。服务作业完成后，服务主体要与农户、农村集体经济组织确认核实服务数量和质量，列表造册、签字盖章、留存档案，填写《农业社会化服务作业单》报旗县农牧部门。区农牧部门和各乡镇组成核查小组，实地核验合同、作业确认单、作业轨迹、农户满意度，对验收不合格的服务组织一律纳入黑名单，验收结果向服务组织通报，并通过政府网站和村务公开栏等公开公示。区农牧部门根据核验情况填写《农业社会化服务补助资金核算表》，及时向财政部门提出资金兑付申请，通过线上线下等渠道同步公开补助信息。严格执行2026年耕种防收折算系数0.35、0.26、0.13、0.26。</w:t>
      </w:r>
    </w:p>
    <w:p w14:paraId="08EDB5C1">
      <w:pPr>
        <w:pStyle w:val="6"/>
        <w:keepNext w:val="0"/>
        <w:keepLines w:val="0"/>
        <w:pageBreakBefore w:val="0"/>
        <w:widowControl w:val="0"/>
        <w:numPr>
          <w:ilvl w:val="0"/>
          <w:numId w:val="0"/>
        </w:numPr>
        <w:tabs>
          <w:tab w:val="left" w:pos="990"/>
        </w:tabs>
        <w:kinsoku/>
        <w:wordWrap/>
        <w:overflowPunct/>
        <w:topLinePunct w:val="0"/>
        <w:bidi w:val="0"/>
        <w:adjustRightInd/>
        <w:snapToGrid/>
        <w:spacing w:before="0" w:after="0" w:line="560" w:lineRule="exact"/>
        <w:ind w:left="0" w:leftChars="0" w:right="0" w:rightChars="0" w:firstLine="624" w:firstLineChars="200"/>
        <w:jc w:val="both"/>
        <w:textAlignment w:val="auto"/>
        <w:rPr>
          <w:rFonts w:hint="eastAsia" w:ascii="仿宋_GB2312" w:hAnsi="仿宋_GB2312" w:eastAsia="仿宋_GB2312" w:cs="仿宋_GB2312"/>
          <w:sz w:val="32"/>
          <w:szCs w:val="32"/>
          <w:lang w:val="en-US" w:eastAsia="zh-CN" w:bidi="ar-SA"/>
        </w:rPr>
      </w:pPr>
      <w:r>
        <w:rPr>
          <w:rFonts w:hint="eastAsia" w:ascii="楷体_GB2312" w:hAnsi="仿宋_GB2312" w:eastAsia="楷体_GB2312" w:cs="仿宋_GB2312"/>
          <w:spacing w:val="-4"/>
          <w:sz w:val="32"/>
          <w:szCs w:val="32"/>
          <w:lang w:val="en-US" w:eastAsia="zh-CN" w:bidi="ar-SA"/>
        </w:rPr>
        <w:t>（四）绩效评价阶段。</w:t>
      </w:r>
      <w:r>
        <w:rPr>
          <w:rFonts w:hint="eastAsia" w:ascii="仿宋_GB2312" w:hAnsi="仿宋_GB2312" w:eastAsia="仿宋_GB2312" w:cs="仿宋_GB2312"/>
          <w:sz w:val="32"/>
          <w:szCs w:val="32"/>
          <w:lang w:val="en-US" w:eastAsia="zh-CN" w:bidi="ar-SA"/>
        </w:rPr>
        <w:t>项目实施完成后，区农牧局及时对项目实施情况进行全面总结和绩效自评，重点评估项目任务完成、资金使用和联农带农等情况。区农牧局及时将资金支出、绩效指标完成、资金兑付到服务主体或农户等信息填报至“农业农村部转移支付管理平台”，确保数据的真实性、准确性和完整性，有关数据材料报送情况纳入绩效评价范围。区农牧部门按照财政部门要求，及时开展项目资金执行情况绩效自评，按程序报送绩效自评材料，绩效评价结果、资金支付情况与下一年项目任务实施和资金分配相挂钩。</w:t>
      </w:r>
    </w:p>
    <w:p w14:paraId="1EE10F8A">
      <w:pPr>
        <w:pStyle w:val="6"/>
        <w:keepNext w:val="0"/>
        <w:keepLines w:val="0"/>
        <w:pageBreakBefore w:val="0"/>
        <w:widowControl w:val="0"/>
        <w:numPr>
          <w:ilvl w:val="0"/>
          <w:numId w:val="0"/>
        </w:numPr>
        <w:tabs>
          <w:tab w:val="left" w:pos="990"/>
        </w:tabs>
        <w:kinsoku/>
        <w:wordWrap/>
        <w:overflowPunct/>
        <w:topLinePunct w:val="0"/>
        <w:bidi w:val="0"/>
        <w:adjustRightInd/>
        <w:snapToGrid/>
        <w:spacing w:before="0" w:after="0" w:line="560" w:lineRule="exact"/>
        <w:ind w:left="0" w:leftChars="0" w:right="0" w:rightChars="0" w:firstLine="632" w:firstLineChars="200"/>
        <w:jc w:val="both"/>
        <w:textAlignment w:val="auto"/>
        <w:rPr>
          <w:rFonts w:hint="eastAsia" w:ascii="黑体" w:hAnsi="黑体" w:eastAsia="黑体" w:cs="黑体"/>
          <w:b w:val="0"/>
          <w:bCs w:val="0"/>
          <w:spacing w:val="-2"/>
          <w:sz w:val="32"/>
          <w:lang w:val="en-US" w:eastAsia="zh-CN"/>
        </w:rPr>
      </w:pPr>
      <w:r>
        <w:rPr>
          <w:rFonts w:hint="eastAsia" w:ascii="黑体" w:hAnsi="黑体" w:eastAsia="黑体" w:cs="黑体"/>
          <w:b w:val="0"/>
          <w:bCs w:val="0"/>
          <w:spacing w:val="-2"/>
          <w:sz w:val="32"/>
          <w:lang w:val="en-US" w:eastAsia="zh-CN"/>
        </w:rPr>
        <w:t>四、强化项目全过程监管</w:t>
      </w:r>
    </w:p>
    <w:p w14:paraId="435EE317">
      <w:pPr>
        <w:pStyle w:val="6"/>
        <w:keepNext w:val="0"/>
        <w:keepLines w:val="0"/>
        <w:pageBreakBefore w:val="0"/>
        <w:widowControl w:val="0"/>
        <w:numPr>
          <w:ilvl w:val="0"/>
          <w:numId w:val="0"/>
        </w:numPr>
        <w:tabs>
          <w:tab w:val="left" w:pos="990"/>
        </w:tabs>
        <w:kinsoku/>
        <w:wordWrap/>
        <w:overflowPunct/>
        <w:topLinePunct w:val="0"/>
        <w:bidi w:val="0"/>
        <w:adjustRightInd/>
        <w:snapToGrid/>
        <w:spacing w:before="0" w:after="0" w:line="560" w:lineRule="exact"/>
        <w:ind w:left="0" w:leftChars="0" w:right="0" w:rightChars="0" w:firstLine="632" w:firstLineChars="200"/>
        <w:jc w:val="both"/>
        <w:textAlignment w:val="auto"/>
        <w:rPr>
          <w:rFonts w:hint="eastAsia" w:ascii="仿宋_GB2312" w:hAnsi="仿宋_GB2312" w:eastAsia="仿宋_GB2312" w:cs="仿宋_GB2312"/>
          <w:sz w:val="32"/>
          <w:szCs w:val="32"/>
          <w:lang w:val="en-US" w:eastAsia="zh-CN" w:bidi="ar-SA"/>
        </w:rPr>
      </w:pPr>
      <w:r>
        <w:rPr>
          <w:rFonts w:hint="eastAsia" w:ascii="楷体" w:hAnsi="楷体" w:eastAsia="楷体" w:cs="楷体"/>
          <w:spacing w:val="-2"/>
          <w:sz w:val="32"/>
          <w:lang w:val="en-US" w:eastAsia="zh-CN"/>
        </w:rPr>
        <w:t>（一）加强服务质量监管。</w:t>
      </w:r>
      <w:r>
        <w:rPr>
          <w:rFonts w:hint="eastAsia" w:ascii="仿宋_GB2312" w:hAnsi="仿宋_GB2312" w:eastAsia="仿宋_GB2312" w:cs="仿宋_GB2312"/>
          <w:sz w:val="32"/>
          <w:szCs w:val="32"/>
          <w:lang w:val="en-US" w:eastAsia="zh-CN" w:bidi="ar-SA"/>
        </w:rPr>
        <w:t>松山区农牧局探索强化监管手段，在服务主体自愿的基础上，大力推进作业监测终端应用，将作业轨迹等监测数据作为作业补助面积核定和补贴资金发放的重要参考依据；研究制定符合当地实际的服务标准和服务合同文本；加强服务质量监督，促进服务主体将粮油等主要作物大面积单产提升技术等落到实处；加强服务价格监测和服务合同监管，引导服务主体规范服务行为，保障双方合法权益。</w:t>
      </w:r>
    </w:p>
    <w:p w14:paraId="4D3E910C">
      <w:pPr>
        <w:pStyle w:val="6"/>
        <w:keepNext w:val="0"/>
        <w:keepLines w:val="0"/>
        <w:pageBreakBefore w:val="0"/>
        <w:widowControl w:val="0"/>
        <w:numPr>
          <w:ilvl w:val="0"/>
          <w:numId w:val="0"/>
        </w:numPr>
        <w:tabs>
          <w:tab w:val="left" w:pos="990"/>
        </w:tabs>
        <w:kinsoku/>
        <w:wordWrap/>
        <w:overflowPunct/>
        <w:topLinePunct w:val="0"/>
        <w:bidi w:val="0"/>
        <w:adjustRightInd/>
        <w:snapToGrid/>
        <w:spacing w:before="0" w:after="0" w:line="560" w:lineRule="exact"/>
        <w:ind w:left="0" w:leftChars="0" w:right="0" w:rightChars="0" w:firstLine="640" w:firstLineChars="200"/>
        <w:jc w:val="both"/>
        <w:textAlignment w:val="auto"/>
        <w:rPr>
          <w:rFonts w:hint="eastAsia"/>
          <w:spacing w:val="-2"/>
          <w:sz w:val="32"/>
          <w:lang w:val="en-US" w:eastAsia="zh-CN"/>
        </w:rPr>
      </w:pPr>
      <w:r>
        <w:rPr>
          <w:rFonts w:hint="eastAsia" w:ascii="楷体" w:hAnsi="楷体" w:eastAsia="楷体" w:cs="楷体"/>
          <w:sz w:val="32"/>
          <w:szCs w:val="32"/>
          <w:lang w:val="en-US" w:eastAsia="zh-CN" w:bidi="ar-SA"/>
        </w:rPr>
        <w:t>（二）强化资金使用监管。</w:t>
      </w:r>
      <w:r>
        <w:rPr>
          <w:rFonts w:hint="eastAsia" w:ascii="仿宋_GB2312" w:hAnsi="仿宋_GB2312" w:eastAsia="仿宋_GB2312" w:cs="仿宋_GB2312"/>
          <w:sz w:val="32"/>
          <w:szCs w:val="32"/>
          <w:lang w:val="en-US" w:eastAsia="zh-CN" w:bidi="ar-SA"/>
        </w:rPr>
        <w:t>松山区农牧局依法依规管理使用财政资金，区农牧局制定农业社会化服务项目资金管理办法，明确补助资金使用范围。严格落实以下要求：1.中央财政农业经营主体能力提升资金（农业社会化服务支出方向）不得用于兴建楼堂馆所、弥补预算支出缺口等支出。2.不得用于列支农牧部门工作经费、项目支出、培训经费等。3.坚决防止以拨代支、截留套取、挤占挪用等问题，保</w:t>
      </w:r>
      <w:r>
        <w:rPr>
          <w:rFonts w:hint="eastAsia"/>
          <w:spacing w:val="-2"/>
          <w:sz w:val="32"/>
          <w:lang w:val="en-US" w:eastAsia="zh-CN"/>
        </w:rPr>
        <w:t>障补贴资金及时、足额兑付。4.服务主体不得将承担的项目任务再行转包，对其自营土地的作业不得纳入补助范围。5.服务主体之间不得通过相互提供交叉作业服务获取补助资金。6.不得受理以中介机构名义直接代理申报的资金项目，不得将财政补助资金用于支付中介费用。加强资金全链条监管，严格资金拨付程序，对不能按合同规定完成任务的，要相应扣减补助资金；对挤占、截留、挪用项目资金等违规违纪行为，按照国家有关规定追究有关单位和人员责任；对套取骗取财政资金等行为，要坚决予以查处，涉嫌犯罪的及时移送司法机关。</w:t>
      </w:r>
    </w:p>
    <w:p w14:paraId="63321172">
      <w:pPr>
        <w:pStyle w:val="6"/>
        <w:keepNext w:val="0"/>
        <w:keepLines w:val="0"/>
        <w:pageBreakBefore w:val="0"/>
        <w:widowControl w:val="0"/>
        <w:numPr>
          <w:ilvl w:val="0"/>
          <w:numId w:val="0"/>
        </w:numPr>
        <w:tabs>
          <w:tab w:val="left" w:pos="990"/>
        </w:tabs>
        <w:kinsoku/>
        <w:wordWrap/>
        <w:overflowPunct/>
        <w:topLinePunct w:val="0"/>
        <w:bidi w:val="0"/>
        <w:adjustRightInd/>
        <w:snapToGrid/>
        <w:spacing w:before="0" w:after="0" w:line="560" w:lineRule="exact"/>
        <w:ind w:left="0" w:leftChars="0" w:right="0" w:rightChars="0" w:firstLine="632" w:firstLineChars="200"/>
        <w:jc w:val="both"/>
        <w:textAlignment w:val="auto"/>
        <w:rPr>
          <w:rFonts w:hint="eastAsia"/>
          <w:spacing w:val="-2"/>
          <w:sz w:val="32"/>
          <w:lang w:val="en-US" w:eastAsia="zh-CN"/>
        </w:rPr>
      </w:pPr>
      <w:r>
        <w:rPr>
          <w:rFonts w:hint="eastAsia" w:ascii="楷体" w:hAnsi="楷体" w:eastAsia="楷体" w:cs="楷体"/>
          <w:spacing w:val="-2"/>
          <w:sz w:val="32"/>
          <w:lang w:val="en-US" w:eastAsia="zh-CN"/>
        </w:rPr>
        <w:t>（三）推进全过程公示公开。</w:t>
      </w:r>
      <w:r>
        <w:rPr>
          <w:rFonts w:hint="eastAsia" w:ascii="仿宋_GB2312" w:hAnsi="仿宋_GB2312" w:eastAsia="仿宋_GB2312" w:cs="仿宋_GB2312"/>
          <w:sz w:val="32"/>
          <w:szCs w:val="32"/>
          <w:lang w:val="en-US" w:eastAsia="zh-CN" w:bidi="ar-SA"/>
        </w:rPr>
        <w:t>严格落实项目公开公示要求，项目实施方案、主体遴选条件及结果、验收结果、财政补助对象及补助资金等关键信息，通过政府或农牧局网站、村务公开栏等多渠道向社会公开公示不少于7个工作日，确保全程接受群众监督。要采取“线上+线下”相结合方式开展政策宣传，通过组织政策宣讲，重点向农户和服务主体说明政策要求、补贴标准、申报流程及监督渠道，营造公开透明的项目实施环境。</w:t>
      </w:r>
    </w:p>
    <w:p w14:paraId="58787E82">
      <w:pPr>
        <w:pStyle w:val="6"/>
        <w:keepNext w:val="0"/>
        <w:keepLines w:val="0"/>
        <w:pageBreakBefore w:val="0"/>
        <w:widowControl w:val="0"/>
        <w:numPr>
          <w:ilvl w:val="0"/>
          <w:numId w:val="0"/>
        </w:numPr>
        <w:tabs>
          <w:tab w:val="left" w:pos="990"/>
        </w:tabs>
        <w:kinsoku/>
        <w:wordWrap/>
        <w:overflowPunct/>
        <w:topLinePunct w:val="0"/>
        <w:bidi w:val="0"/>
        <w:adjustRightInd/>
        <w:snapToGrid/>
        <w:spacing w:before="0" w:after="0" w:line="560" w:lineRule="exact"/>
        <w:ind w:left="0" w:leftChars="0" w:right="0" w:rightChars="0" w:firstLine="632" w:firstLineChars="200"/>
        <w:jc w:val="both"/>
        <w:textAlignment w:val="auto"/>
        <w:rPr>
          <w:rFonts w:hint="eastAsia" w:ascii="黑体" w:hAnsi="黑体" w:eastAsia="黑体" w:cs="黑体"/>
          <w:b w:val="0"/>
          <w:bCs w:val="0"/>
          <w:spacing w:val="-2"/>
          <w:sz w:val="32"/>
          <w:lang w:val="en-US" w:eastAsia="zh-CN"/>
        </w:rPr>
      </w:pPr>
      <w:r>
        <w:rPr>
          <w:rFonts w:hint="eastAsia" w:ascii="黑体" w:hAnsi="黑体" w:eastAsia="黑体" w:cs="黑体"/>
          <w:b w:val="0"/>
          <w:bCs w:val="0"/>
          <w:spacing w:val="-2"/>
          <w:sz w:val="32"/>
          <w:lang w:val="en-US" w:eastAsia="zh-CN"/>
        </w:rPr>
        <w:t>五、工作要求</w:t>
      </w:r>
    </w:p>
    <w:p w14:paraId="398DD0F5">
      <w:pPr>
        <w:pStyle w:val="6"/>
        <w:keepNext w:val="0"/>
        <w:keepLines w:val="0"/>
        <w:pageBreakBefore w:val="0"/>
        <w:widowControl w:val="0"/>
        <w:numPr>
          <w:ilvl w:val="0"/>
          <w:numId w:val="0"/>
        </w:numPr>
        <w:tabs>
          <w:tab w:val="left" w:pos="990"/>
        </w:tabs>
        <w:kinsoku/>
        <w:wordWrap/>
        <w:overflowPunct/>
        <w:topLinePunct w:val="0"/>
        <w:bidi w:val="0"/>
        <w:adjustRightInd/>
        <w:snapToGrid/>
        <w:spacing w:before="0" w:after="0"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区农牧部门要定期指导、抽查项目的组织实施、资金拨付等情况，对发现项目实施中存在的问题，及时整改，确保规范完成项目任务。建立健全工作机制，农牧部门和财政部门要形成工作合力，提高资金支出效率，保证项目实施质量。</w:t>
      </w:r>
    </w:p>
    <w:p w14:paraId="7B208775">
      <w:pPr>
        <w:pStyle w:val="6"/>
        <w:keepNext w:val="0"/>
        <w:keepLines w:val="0"/>
        <w:pageBreakBefore w:val="0"/>
        <w:widowControl w:val="0"/>
        <w:numPr>
          <w:ilvl w:val="0"/>
          <w:numId w:val="0"/>
        </w:numPr>
        <w:tabs>
          <w:tab w:val="left" w:pos="990"/>
        </w:tabs>
        <w:kinsoku/>
        <w:wordWrap/>
        <w:overflowPunct/>
        <w:topLinePunct w:val="0"/>
        <w:bidi w:val="0"/>
        <w:adjustRightInd/>
        <w:snapToGrid/>
        <w:spacing w:before="0" w:after="0" w:line="560" w:lineRule="exact"/>
        <w:ind w:left="0" w:leftChars="0" w:right="0" w:rightChars="0" w:firstLine="640" w:firstLineChars="200"/>
        <w:jc w:val="both"/>
        <w:textAlignment w:val="auto"/>
        <w:rPr>
          <w:rFonts w:hint="default"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附件：1</w:t>
      </w:r>
      <w:r>
        <w:rPr>
          <w:rFonts w:hint="eastAsia" w:cs="仿宋_GB2312"/>
          <w:sz w:val="32"/>
          <w:szCs w:val="32"/>
          <w:lang w:val="en-US" w:eastAsia="zh-CN" w:bidi="ar-SA"/>
        </w:rPr>
        <w:t>、</w:t>
      </w:r>
      <w:r>
        <w:rPr>
          <w:rFonts w:hint="eastAsia" w:ascii="仿宋_GB2312" w:hAnsi="仿宋_GB2312" w:eastAsia="仿宋_GB2312" w:cs="仿宋_GB2312"/>
          <w:sz w:val="32"/>
          <w:szCs w:val="32"/>
          <w:lang w:val="en-US" w:eastAsia="zh-CN" w:bidi="ar-SA"/>
        </w:rPr>
        <w:t>松山区农业社会化核查小组</w:t>
      </w:r>
    </w:p>
    <w:p w14:paraId="6566F812">
      <w:pPr>
        <w:pStyle w:val="6"/>
        <w:keepNext w:val="0"/>
        <w:keepLines w:val="0"/>
        <w:pageBreakBefore w:val="0"/>
        <w:widowControl w:val="0"/>
        <w:numPr>
          <w:ilvl w:val="0"/>
          <w:numId w:val="0"/>
        </w:numPr>
        <w:tabs>
          <w:tab w:val="left" w:pos="990"/>
        </w:tabs>
        <w:kinsoku/>
        <w:wordWrap/>
        <w:overflowPunct/>
        <w:topLinePunct w:val="0"/>
        <w:bidi w:val="0"/>
        <w:adjustRightInd/>
        <w:snapToGrid/>
        <w:spacing w:before="0" w:after="0"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 xml:space="preserve">      2</w:t>
      </w:r>
      <w:r>
        <w:rPr>
          <w:rFonts w:hint="eastAsia" w:cs="仿宋_GB2312"/>
          <w:sz w:val="32"/>
          <w:szCs w:val="32"/>
          <w:lang w:val="en-US" w:eastAsia="zh-CN" w:bidi="ar-SA"/>
        </w:rPr>
        <w:t>、</w:t>
      </w:r>
      <w:r>
        <w:rPr>
          <w:rFonts w:hint="eastAsia" w:ascii="仿宋_GB2312" w:hAnsi="仿宋_GB2312" w:eastAsia="仿宋_GB2312" w:cs="仿宋_GB2312"/>
          <w:sz w:val="32"/>
          <w:szCs w:val="32"/>
          <w:lang w:val="en-US" w:eastAsia="zh-CN" w:bidi="ar-SA"/>
        </w:rPr>
        <w:t>农业社会化服务作业单</w:t>
      </w:r>
    </w:p>
    <w:p w14:paraId="0530DEBF">
      <w:pPr>
        <w:pStyle w:val="6"/>
        <w:keepNext w:val="0"/>
        <w:keepLines w:val="0"/>
        <w:pageBreakBefore w:val="0"/>
        <w:widowControl w:val="0"/>
        <w:numPr>
          <w:ilvl w:val="0"/>
          <w:numId w:val="0"/>
        </w:numPr>
        <w:tabs>
          <w:tab w:val="left" w:pos="990"/>
        </w:tabs>
        <w:kinsoku/>
        <w:wordWrap/>
        <w:overflowPunct/>
        <w:topLinePunct w:val="0"/>
        <w:bidi w:val="0"/>
        <w:adjustRightInd/>
        <w:snapToGrid/>
        <w:spacing w:before="0" w:after="0"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 xml:space="preserve">      3</w:t>
      </w:r>
      <w:r>
        <w:rPr>
          <w:rFonts w:hint="eastAsia" w:cs="仿宋_GB2312"/>
          <w:sz w:val="32"/>
          <w:szCs w:val="32"/>
          <w:lang w:val="en-US" w:eastAsia="zh-CN" w:bidi="ar-SA"/>
        </w:rPr>
        <w:t>、</w:t>
      </w:r>
      <w:r>
        <w:rPr>
          <w:rFonts w:hint="eastAsia" w:ascii="仿宋_GB2312" w:hAnsi="仿宋_GB2312" w:eastAsia="仿宋_GB2312" w:cs="仿宋_GB2312"/>
          <w:sz w:val="32"/>
          <w:szCs w:val="32"/>
          <w:lang w:val="en-US" w:eastAsia="zh-CN" w:bidi="ar-SA"/>
        </w:rPr>
        <w:t>松山区农牧局农业社会化服务主体名录库动态管理办法</w:t>
      </w:r>
    </w:p>
    <w:p w14:paraId="5B202BA1">
      <w:pPr>
        <w:pStyle w:val="6"/>
        <w:keepNext w:val="0"/>
        <w:keepLines w:val="0"/>
        <w:pageBreakBefore w:val="0"/>
        <w:widowControl w:val="0"/>
        <w:numPr>
          <w:ilvl w:val="0"/>
          <w:numId w:val="0"/>
        </w:numPr>
        <w:tabs>
          <w:tab w:val="left" w:pos="990"/>
        </w:tabs>
        <w:kinsoku/>
        <w:wordWrap/>
        <w:overflowPunct/>
        <w:topLinePunct w:val="0"/>
        <w:bidi w:val="0"/>
        <w:adjustRightInd/>
        <w:snapToGrid/>
        <w:spacing w:before="0" w:after="0" w:line="560" w:lineRule="exact"/>
        <w:ind w:left="0" w:leftChars="0" w:right="0" w:rightChars="0" w:firstLine="1600" w:firstLineChars="5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4</w:t>
      </w:r>
      <w:r>
        <w:rPr>
          <w:rFonts w:hint="eastAsia" w:cs="仿宋_GB2312"/>
          <w:sz w:val="32"/>
          <w:szCs w:val="32"/>
          <w:lang w:val="en-US" w:eastAsia="zh-CN" w:bidi="ar-SA"/>
        </w:rPr>
        <w:t>、</w:t>
      </w:r>
      <w:r>
        <w:rPr>
          <w:rFonts w:hint="eastAsia" w:ascii="仿宋_GB2312" w:hAnsi="仿宋_GB2312" w:eastAsia="仿宋_GB2312" w:cs="仿宋_GB2312"/>
          <w:sz w:val="32"/>
          <w:szCs w:val="32"/>
          <w:lang w:val="en-US" w:eastAsia="zh-CN" w:bidi="ar-SA"/>
        </w:rPr>
        <w:t>松山区农牧局农业社会化服务项目资金管理办法</w:t>
      </w:r>
    </w:p>
    <w:p w14:paraId="3223E523">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00000" w:csb1="00000000"/>
  </w:font>
  <w:font w:name="方正小标宋简体">
    <w:altName w:val="黑体"/>
    <w:panose1 w:val="02010601030101010101"/>
    <w:charset w:val="86"/>
    <w:family w:val="auto"/>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KSOF439EEF5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EE9227"/>
    <w:multiLevelType w:val="singleLevel"/>
    <w:tmpl w:val="F2EE922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256EC4"/>
    <w:rsid w:val="28256E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仿宋_GB2312" w:hAnsi="仿宋_GB2312" w:eastAsia="仿宋_GB2312" w:cs="仿宋_GB2312"/>
      <w:sz w:val="22"/>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Title"/>
    <w:basedOn w:val="1"/>
    <w:next w:val="1"/>
    <w:qFormat/>
    <w:uiPriority w:val="0"/>
    <w:pPr>
      <w:spacing w:before="240" w:after="60"/>
      <w:jc w:val="center"/>
      <w:outlineLvl w:val="0"/>
    </w:pPr>
    <w:rPr>
      <w:rFonts w:ascii="Arial" w:hAnsi="Arial" w:cs="Arial"/>
      <w:b/>
      <w:bCs/>
      <w:sz w:val="32"/>
      <w:szCs w:val="32"/>
    </w:rPr>
  </w:style>
  <w:style w:type="paragraph" w:styleId="3">
    <w:name w:val="Body Text"/>
    <w:basedOn w:val="1"/>
    <w:qFormat/>
    <w:uiPriority w:val="1"/>
    <w:rPr>
      <w:rFonts w:ascii="仿宋_GB2312" w:hAnsi="仿宋_GB2312" w:eastAsia="仿宋_GB2312" w:cs="仿宋_GB2312"/>
      <w:sz w:val="32"/>
      <w:szCs w:val="32"/>
      <w:lang w:val="en-US" w:eastAsia="zh-CN" w:bidi="ar-SA"/>
    </w:rPr>
  </w:style>
  <w:style w:type="paragraph" w:styleId="6">
    <w:name w:val="List Paragraph"/>
    <w:basedOn w:val="1"/>
    <w:qFormat/>
    <w:uiPriority w:val="1"/>
    <w:pPr>
      <w:spacing w:before="184"/>
      <w:ind w:left="111" w:hanging="239"/>
    </w:pPr>
    <w:rPr>
      <w:rFonts w:ascii="仿宋_GB2312" w:hAnsi="仿宋_GB2312" w:eastAsia="仿宋_GB2312" w:cs="仿宋_GB231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2026-08-11T01:17:00Z</dcterms:created>
  <dc:creator>天道酬勤</dc:creator>
  <cp:lastModifiedBy>天道酬勤</cp:lastModifiedBy>
  <dcterms:modified xsi:type="dcterms:W3CDTF">2026-08-11T01:18:59Z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6119768EC9DC4180A32E78DF414DCC6D_11</vt:lpwstr>
  </property>
  <property fmtid="{D5CDD505-2E9C-101B-9397-08002B2CF9AE}" pid="4" name="KSOTemplateDocerSaveRecord">
    <vt:lpwstr>eyJoZGlkIjoiMzJkNjJiNzcwYWM2OGYwNmUyOWI0YWNjYjA2YWIxZWQiLCJ1c2VySWQiOiI0MzIzODgxMjUifQ==</vt:lpwstr>
  </property>
</Properties>
</file>