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69F8D">
      <w:pPr>
        <w:overflowPunct w:val="0"/>
        <w:adjustRightInd w:val="0"/>
        <w:snapToGrid w:val="0"/>
        <w:spacing w:line="588" w:lineRule="exact"/>
        <w:jc w:val="left"/>
        <w:rPr>
          <w:rFonts w:hint="eastAsia" w:ascii="黑体" w:hAnsi="黑体" w:eastAsia="黑体"/>
          <w:sz w:val="30"/>
          <w:szCs w:val="30"/>
        </w:rPr>
      </w:pPr>
      <w:bookmarkStart w:id="0" w:name="_GoBack"/>
      <w:bookmarkEnd w:id="0"/>
      <w:r>
        <w:rPr>
          <w:rFonts w:ascii="黑体" w:hAnsi="黑体" w:eastAsia="黑体"/>
          <w:sz w:val="30"/>
          <w:szCs w:val="30"/>
        </w:rPr>
        <w:t>附件</w:t>
      </w:r>
      <w:r>
        <w:rPr>
          <w:rFonts w:hint="eastAsia" w:ascii="黑体" w:hAnsi="黑体" w:eastAsia="黑体"/>
          <w:sz w:val="30"/>
          <w:szCs w:val="30"/>
        </w:rPr>
        <w:t>2</w:t>
      </w:r>
    </w:p>
    <w:p w14:paraId="3C30AEDD">
      <w:pPr>
        <w:spacing w:line="4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以工代赈2026年第一批中央预算内投资</w:t>
      </w:r>
    </w:p>
    <w:p w14:paraId="713263D3">
      <w:pPr>
        <w:spacing w:line="400" w:lineRule="exact"/>
        <w:jc w:val="center"/>
        <w:rPr>
          <w:rFonts w:hint="eastAsia" w:ascii="楷体_GB2312" w:hAnsi="Times New Roman" w:eastAsia="楷体_GB2312"/>
          <w:sz w:val="30"/>
          <w:szCs w:val="30"/>
        </w:rPr>
      </w:pPr>
      <w:r>
        <w:rPr>
          <w:rFonts w:hint="eastAsia" w:ascii="方正小标宋简体" w:hAnsi="方正小标宋简体" w:eastAsia="方正小标宋简体" w:cs="方正小标宋简体"/>
          <w:sz w:val="32"/>
          <w:szCs w:val="32"/>
        </w:rPr>
        <w:t>绩效目标表</w:t>
      </w:r>
    </w:p>
    <w:tbl>
      <w:tblPr>
        <w:tblStyle w:val="8"/>
        <w:tblW w:w="0" w:type="auto"/>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964"/>
        <w:gridCol w:w="1964"/>
        <w:gridCol w:w="367"/>
        <w:gridCol w:w="347"/>
        <w:gridCol w:w="3616"/>
      </w:tblGrid>
      <w:tr w14:paraId="7632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5243" w:type="dxa"/>
            <w:gridSpan w:val="4"/>
            <w:noWrap w:val="0"/>
            <w:vAlign w:val="center"/>
          </w:tcPr>
          <w:p w14:paraId="1B52309B">
            <w:pPr>
              <w:jc w:val="center"/>
              <w:rPr>
                <w:rFonts w:ascii="Times New Roman" w:hAnsi="Times New Roman" w:eastAsia="方正仿宋_GBK"/>
                <w:szCs w:val="21"/>
              </w:rPr>
            </w:pPr>
            <w:r>
              <w:rPr>
                <w:rFonts w:ascii="Times New Roman" w:hAnsi="Times New Roman" w:eastAsia="方正仿宋_GBK"/>
                <w:szCs w:val="21"/>
              </w:rPr>
              <w:t>专项名称</w:t>
            </w:r>
          </w:p>
        </w:tc>
        <w:tc>
          <w:tcPr>
            <w:tcW w:w="3631" w:type="dxa"/>
            <w:gridSpan w:val="2"/>
            <w:noWrap w:val="0"/>
            <w:vAlign w:val="center"/>
          </w:tcPr>
          <w:p w14:paraId="30B1661C">
            <w:pPr>
              <w:jc w:val="center"/>
              <w:rPr>
                <w:rFonts w:ascii="Times New Roman" w:hAnsi="Times New Roman" w:eastAsia="方正仿宋_GBK"/>
                <w:szCs w:val="21"/>
              </w:rPr>
            </w:pPr>
            <w:r>
              <w:rPr>
                <w:rFonts w:hint="eastAsia" w:ascii="Times New Roman" w:hAnsi="Times New Roman" w:eastAsia="方正仿宋_GBK"/>
                <w:szCs w:val="21"/>
              </w:rPr>
              <w:t>以工代赈示范工程</w:t>
            </w:r>
          </w:p>
        </w:tc>
      </w:tr>
      <w:tr w14:paraId="6EAE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64" w:hRule="exact"/>
        </w:trPr>
        <w:tc>
          <w:tcPr>
            <w:tcW w:w="5243" w:type="dxa"/>
            <w:gridSpan w:val="4"/>
            <w:noWrap w:val="0"/>
            <w:vAlign w:val="center"/>
          </w:tcPr>
          <w:p w14:paraId="4AC169CA">
            <w:pPr>
              <w:jc w:val="center"/>
              <w:rPr>
                <w:rFonts w:ascii="Times New Roman" w:hAnsi="Times New Roman" w:eastAsia="方正仿宋_GBK"/>
                <w:szCs w:val="21"/>
              </w:rPr>
            </w:pPr>
            <w:r>
              <w:rPr>
                <w:rFonts w:ascii="Times New Roman" w:hAnsi="Times New Roman" w:eastAsia="方正仿宋_GBK"/>
                <w:szCs w:val="21"/>
              </w:rPr>
              <w:t>申报地方或单位</w:t>
            </w:r>
          </w:p>
        </w:tc>
        <w:tc>
          <w:tcPr>
            <w:tcW w:w="3631" w:type="dxa"/>
            <w:gridSpan w:val="2"/>
            <w:noWrap w:val="0"/>
            <w:vAlign w:val="center"/>
          </w:tcPr>
          <w:p w14:paraId="38AB75C4">
            <w:pPr>
              <w:jc w:val="center"/>
              <w:rPr>
                <w:rFonts w:ascii="Times New Roman" w:hAnsi="Times New Roman" w:eastAsia="方正仿宋_GBK"/>
                <w:szCs w:val="21"/>
              </w:rPr>
            </w:pPr>
            <w:r>
              <w:rPr>
                <w:rFonts w:hint="eastAsia" w:ascii="仿宋_GB2312" w:hAnsi="宋体" w:eastAsia="仿宋_GB2312" w:cs="宋体"/>
                <w:szCs w:val="21"/>
                <w:lang w:eastAsia="zh-CN"/>
              </w:rPr>
              <w:t>赤峰市</w:t>
            </w:r>
            <w:r>
              <w:rPr>
                <w:rFonts w:hint="eastAsia" w:ascii="仿宋_GB2312" w:hAnsi="Times New Roman" w:eastAsia="仿宋_GB2312"/>
                <w:szCs w:val="21"/>
              </w:rPr>
              <w:t>发</w:t>
            </w:r>
            <w:r>
              <w:rPr>
                <w:rFonts w:hint="eastAsia" w:ascii="Times New Roman" w:hAnsi="Times New Roman" w:eastAsia="方正仿宋_GBK"/>
                <w:szCs w:val="21"/>
              </w:rPr>
              <w:t>展改革委</w:t>
            </w:r>
          </w:p>
        </w:tc>
      </w:tr>
      <w:tr w14:paraId="715B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5243" w:type="dxa"/>
            <w:gridSpan w:val="4"/>
            <w:noWrap w:val="0"/>
            <w:vAlign w:val="center"/>
          </w:tcPr>
          <w:p w14:paraId="3D526E12">
            <w:pPr>
              <w:jc w:val="center"/>
              <w:rPr>
                <w:rFonts w:ascii="Times New Roman" w:hAnsi="Times New Roman" w:eastAsia="方正仿宋_GBK"/>
                <w:szCs w:val="21"/>
              </w:rPr>
            </w:pPr>
            <w:r>
              <w:rPr>
                <w:rFonts w:ascii="Times New Roman" w:hAnsi="Times New Roman" w:eastAsia="方正仿宋_GBK"/>
                <w:szCs w:val="21"/>
              </w:rPr>
              <w:t>申请中央预算内投资（万元）</w:t>
            </w:r>
          </w:p>
        </w:tc>
        <w:tc>
          <w:tcPr>
            <w:tcW w:w="3631" w:type="dxa"/>
            <w:gridSpan w:val="2"/>
            <w:noWrap w:val="0"/>
            <w:vAlign w:val="center"/>
          </w:tcPr>
          <w:p w14:paraId="2B555E81">
            <w:pPr>
              <w:jc w:val="center"/>
              <w:rPr>
                <w:rFonts w:hint="default" w:ascii="Times New Roman" w:hAnsi="Times New Roman" w:eastAsia="方正仿宋_GBK"/>
                <w:szCs w:val="21"/>
                <w:lang w:val="en-US" w:eastAsia="zh-CN"/>
              </w:rPr>
            </w:pPr>
            <w:r>
              <w:rPr>
                <w:rFonts w:hint="eastAsia" w:ascii="Times New Roman" w:hAnsi="Times New Roman" w:eastAsia="方正仿宋_GBK"/>
                <w:szCs w:val="21"/>
                <w:lang w:val="en-US" w:eastAsia="zh-CN"/>
              </w:rPr>
              <w:t>1295</w:t>
            </w:r>
          </w:p>
        </w:tc>
      </w:tr>
      <w:tr w14:paraId="796F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2272" w:hRule="atLeast"/>
        </w:trPr>
        <w:tc>
          <w:tcPr>
            <w:tcW w:w="0" w:type="auto"/>
            <w:noWrap w:val="0"/>
            <w:vAlign w:val="center"/>
          </w:tcPr>
          <w:p w14:paraId="720F7F61">
            <w:pPr>
              <w:jc w:val="center"/>
              <w:rPr>
                <w:rFonts w:ascii="Times New Roman" w:hAnsi="Times New Roman" w:eastAsia="方正仿宋_GBK"/>
                <w:szCs w:val="21"/>
              </w:rPr>
            </w:pPr>
            <w:r>
              <w:rPr>
                <w:rFonts w:ascii="Times New Roman" w:hAnsi="Times New Roman" w:eastAsia="方正仿宋_GBK"/>
                <w:szCs w:val="21"/>
              </w:rPr>
              <w:t>总体目标</w:t>
            </w:r>
          </w:p>
        </w:tc>
        <w:tc>
          <w:tcPr>
            <w:tcW w:w="0" w:type="auto"/>
            <w:gridSpan w:val="5"/>
            <w:noWrap w:val="0"/>
            <w:vAlign w:val="center"/>
          </w:tcPr>
          <w:p w14:paraId="40FAB943">
            <w:pPr>
              <w:ind w:firstLine="420"/>
              <w:rPr>
                <w:rFonts w:hint="default" w:ascii="仿宋_GB2312" w:hAnsi="Times New Roman" w:eastAsia="仿宋_GB2312"/>
                <w:szCs w:val="21"/>
                <w:lang w:val="en-US"/>
              </w:rPr>
            </w:pPr>
            <w:r>
              <w:rPr>
                <w:rFonts w:hint="eastAsia" w:ascii="Times New Roman" w:hAnsi="Times New Roman" w:eastAsia="方正仿宋_GBK" w:cs="Times New Roman"/>
                <w:sz w:val="21"/>
                <w:szCs w:val="21"/>
                <w:lang w:eastAsia="zh-CN"/>
              </w:rPr>
              <w:t>在赤峰市松山区</w:t>
            </w:r>
            <w:r>
              <w:rPr>
                <w:rFonts w:hint="eastAsia" w:ascii="Times New Roman" w:hAnsi="Times New Roman" w:eastAsia="方正仿宋_GBK" w:cs="Times New Roman"/>
                <w:sz w:val="21"/>
                <w:szCs w:val="21"/>
                <w:lang w:val="en-US" w:eastAsia="zh-CN"/>
              </w:rPr>
              <w:t>共实施3个以工代赈项目，支持实施一批通村公路、过水路面、河道清淤、巷道整治等基础设施建设，在确保劳务报酬发放金额占中央投资的总体比例达到40%以上的基础上，尽可能进一步提高占比，广泛吸纳返乡农民工、脱贫人口、防止返贫致贫对象等重点群体和其他城乡就业困难群众参与工程建设，实现就地就近就业增收。</w:t>
            </w:r>
          </w:p>
        </w:tc>
      </w:tr>
      <w:tr w14:paraId="40A7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restart"/>
            <w:noWrap w:val="0"/>
            <w:vAlign w:val="center"/>
          </w:tcPr>
          <w:p w14:paraId="1138B9A6">
            <w:pPr>
              <w:jc w:val="center"/>
              <w:rPr>
                <w:rFonts w:ascii="Times New Roman" w:hAnsi="Times New Roman" w:eastAsia="方正仿宋_GBK"/>
                <w:szCs w:val="21"/>
              </w:rPr>
            </w:pPr>
            <w:r>
              <w:rPr>
                <w:rFonts w:ascii="Times New Roman" w:hAnsi="Times New Roman" w:eastAsia="方正仿宋_GBK"/>
                <w:szCs w:val="21"/>
              </w:rPr>
              <w:t>绩</w:t>
            </w:r>
          </w:p>
          <w:p w14:paraId="4A6FBC92">
            <w:pPr>
              <w:jc w:val="center"/>
              <w:rPr>
                <w:rFonts w:ascii="Times New Roman" w:hAnsi="Times New Roman" w:eastAsia="方正仿宋_GBK"/>
                <w:szCs w:val="21"/>
              </w:rPr>
            </w:pPr>
          </w:p>
          <w:p w14:paraId="7C48DE0C">
            <w:pPr>
              <w:jc w:val="center"/>
              <w:rPr>
                <w:rFonts w:ascii="Times New Roman" w:hAnsi="Times New Roman" w:eastAsia="方正仿宋_GBK"/>
                <w:szCs w:val="21"/>
              </w:rPr>
            </w:pPr>
            <w:r>
              <w:rPr>
                <w:rFonts w:ascii="Times New Roman" w:hAnsi="Times New Roman" w:eastAsia="方正仿宋_GBK"/>
                <w:szCs w:val="21"/>
              </w:rPr>
              <w:t>效</w:t>
            </w:r>
          </w:p>
          <w:p w14:paraId="61C23CE5">
            <w:pPr>
              <w:jc w:val="center"/>
              <w:rPr>
                <w:rFonts w:ascii="Times New Roman" w:hAnsi="Times New Roman" w:eastAsia="方正仿宋_GBK"/>
                <w:szCs w:val="21"/>
              </w:rPr>
            </w:pPr>
          </w:p>
          <w:p w14:paraId="57798051">
            <w:pPr>
              <w:jc w:val="center"/>
              <w:rPr>
                <w:rFonts w:ascii="Times New Roman" w:hAnsi="Times New Roman" w:eastAsia="方正仿宋_GBK"/>
                <w:szCs w:val="21"/>
              </w:rPr>
            </w:pPr>
            <w:r>
              <w:rPr>
                <w:rFonts w:ascii="Times New Roman" w:hAnsi="Times New Roman" w:eastAsia="方正仿宋_GBK"/>
                <w:szCs w:val="21"/>
              </w:rPr>
              <w:t>指</w:t>
            </w:r>
          </w:p>
          <w:p w14:paraId="463070C8">
            <w:pPr>
              <w:jc w:val="center"/>
              <w:rPr>
                <w:rFonts w:ascii="Times New Roman" w:hAnsi="Times New Roman" w:eastAsia="方正仿宋_GBK"/>
                <w:szCs w:val="21"/>
              </w:rPr>
            </w:pPr>
          </w:p>
          <w:p w14:paraId="514C88AD">
            <w:pPr>
              <w:jc w:val="center"/>
              <w:rPr>
                <w:rFonts w:ascii="Times New Roman" w:hAnsi="Times New Roman" w:eastAsia="方正仿宋_GBK"/>
                <w:szCs w:val="21"/>
              </w:rPr>
            </w:pPr>
            <w:r>
              <w:rPr>
                <w:rFonts w:ascii="Times New Roman" w:hAnsi="Times New Roman" w:eastAsia="方正仿宋_GBK"/>
                <w:szCs w:val="21"/>
              </w:rPr>
              <w:t>标</w:t>
            </w:r>
          </w:p>
        </w:tc>
        <w:tc>
          <w:tcPr>
            <w:tcW w:w="0" w:type="auto"/>
            <w:noWrap w:val="0"/>
            <w:vAlign w:val="center"/>
          </w:tcPr>
          <w:p w14:paraId="76A4CCEB">
            <w:pPr>
              <w:jc w:val="center"/>
              <w:rPr>
                <w:rFonts w:ascii="Times New Roman" w:hAnsi="Times New Roman" w:eastAsia="方正仿宋_GBK"/>
                <w:szCs w:val="21"/>
              </w:rPr>
            </w:pPr>
            <w:r>
              <w:rPr>
                <w:rFonts w:ascii="Times New Roman" w:hAnsi="Times New Roman" w:eastAsia="方正仿宋_GBK"/>
                <w:szCs w:val="21"/>
              </w:rPr>
              <w:t>一级指标</w:t>
            </w:r>
          </w:p>
        </w:tc>
        <w:tc>
          <w:tcPr>
            <w:tcW w:w="0" w:type="auto"/>
            <w:noWrap w:val="0"/>
            <w:vAlign w:val="center"/>
          </w:tcPr>
          <w:p w14:paraId="5E8FB76A">
            <w:pPr>
              <w:jc w:val="center"/>
              <w:rPr>
                <w:rFonts w:ascii="Times New Roman" w:hAnsi="Times New Roman" w:eastAsia="方正仿宋_GBK"/>
                <w:szCs w:val="21"/>
              </w:rPr>
            </w:pPr>
            <w:r>
              <w:rPr>
                <w:rFonts w:ascii="Times New Roman" w:hAnsi="Times New Roman" w:eastAsia="方正仿宋_GBK"/>
                <w:szCs w:val="21"/>
              </w:rPr>
              <w:t>二级指标</w:t>
            </w:r>
          </w:p>
        </w:tc>
        <w:tc>
          <w:tcPr>
            <w:tcW w:w="0" w:type="auto"/>
            <w:gridSpan w:val="2"/>
            <w:noWrap w:val="0"/>
            <w:vAlign w:val="center"/>
          </w:tcPr>
          <w:p w14:paraId="1C615D99">
            <w:pPr>
              <w:jc w:val="center"/>
              <w:rPr>
                <w:rFonts w:ascii="Times New Roman" w:hAnsi="Times New Roman" w:eastAsia="方正仿宋_GBK"/>
                <w:sz w:val="10"/>
                <w:szCs w:val="10"/>
              </w:rPr>
            </w:pPr>
            <w:r>
              <w:rPr>
                <w:rFonts w:ascii="Times New Roman" w:hAnsi="Times New Roman" w:eastAsia="方正仿宋_GBK"/>
                <w:sz w:val="10"/>
                <w:szCs w:val="10"/>
              </w:rPr>
              <w:t>三级指标</w:t>
            </w:r>
          </w:p>
        </w:tc>
        <w:tc>
          <w:tcPr>
            <w:tcW w:w="0" w:type="auto"/>
            <w:noWrap w:val="0"/>
            <w:vAlign w:val="center"/>
          </w:tcPr>
          <w:p w14:paraId="2B0226CA">
            <w:pPr>
              <w:jc w:val="center"/>
              <w:rPr>
                <w:rFonts w:ascii="Times New Roman" w:hAnsi="Times New Roman" w:eastAsia="方正仿宋_GBK"/>
                <w:szCs w:val="21"/>
              </w:rPr>
            </w:pPr>
            <w:r>
              <w:rPr>
                <w:rFonts w:ascii="Times New Roman" w:hAnsi="Times New Roman" w:eastAsia="方正仿宋_GBK"/>
                <w:szCs w:val="21"/>
              </w:rPr>
              <w:t>指标值</w:t>
            </w:r>
          </w:p>
        </w:tc>
      </w:tr>
      <w:tr w14:paraId="2334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19C6F99C">
            <w:pPr>
              <w:jc w:val="center"/>
              <w:rPr>
                <w:rFonts w:ascii="Times New Roman" w:hAnsi="Times New Roman" w:eastAsia="方正仿宋_GBK"/>
                <w:szCs w:val="21"/>
              </w:rPr>
            </w:pPr>
          </w:p>
        </w:tc>
        <w:tc>
          <w:tcPr>
            <w:tcW w:w="0" w:type="auto"/>
            <w:vMerge w:val="restart"/>
            <w:noWrap w:val="0"/>
            <w:vAlign w:val="center"/>
          </w:tcPr>
          <w:p w14:paraId="38DA590E">
            <w:pPr>
              <w:jc w:val="center"/>
              <w:rPr>
                <w:rFonts w:ascii="Times New Roman" w:hAnsi="Times New Roman" w:eastAsia="方正仿宋_GBK"/>
                <w:szCs w:val="21"/>
              </w:rPr>
            </w:pPr>
            <w:r>
              <w:rPr>
                <w:rFonts w:ascii="Times New Roman" w:hAnsi="Times New Roman" w:eastAsia="方正仿宋_GBK"/>
                <w:szCs w:val="21"/>
              </w:rPr>
              <w:t>实施效果指标</w:t>
            </w:r>
          </w:p>
        </w:tc>
        <w:tc>
          <w:tcPr>
            <w:tcW w:w="0" w:type="auto"/>
            <w:noWrap w:val="0"/>
            <w:vAlign w:val="center"/>
          </w:tcPr>
          <w:p w14:paraId="2A7B6406">
            <w:pPr>
              <w:jc w:val="center"/>
              <w:rPr>
                <w:rFonts w:ascii="Times New Roman" w:hAnsi="Times New Roman" w:eastAsia="方正仿宋_GBK"/>
                <w:szCs w:val="21"/>
              </w:rPr>
            </w:pPr>
            <w:r>
              <w:rPr>
                <w:rFonts w:ascii="Times New Roman" w:hAnsi="Times New Roman" w:eastAsia="方正仿宋_GBK"/>
                <w:szCs w:val="21"/>
              </w:rPr>
              <w:t>产出指标</w:t>
            </w:r>
          </w:p>
        </w:tc>
        <w:tc>
          <w:tcPr>
            <w:tcW w:w="0" w:type="auto"/>
            <w:gridSpan w:val="2"/>
            <w:noWrap w:val="0"/>
            <w:vAlign w:val="center"/>
          </w:tcPr>
          <w:p w14:paraId="2647F4E7">
            <w:pPr>
              <w:jc w:val="center"/>
              <w:rPr>
                <w:rFonts w:ascii="Times New Roman" w:hAnsi="Times New Roman" w:eastAsia="方正仿宋_GBK"/>
                <w:sz w:val="10"/>
                <w:szCs w:val="10"/>
              </w:rPr>
            </w:pPr>
            <w:r>
              <w:rPr>
                <w:rFonts w:hint="eastAsia" w:ascii="Times New Roman" w:hAnsi="Times New Roman" w:eastAsia="方正仿宋_GBK"/>
                <w:sz w:val="10"/>
                <w:szCs w:val="10"/>
              </w:rPr>
              <w:t>劳务报酬占中央投资比例</w:t>
            </w:r>
          </w:p>
        </w:tc>
        <w:tc>
          <w:tcPr>
            <w:tcW w:w="0" w:type="auto"/>
            <w:noWrap w:val="0"/>
            <w:vAlign w:val="center"/>
          </w:tcPr>
          <w:p w14:paraId="27F139E6">
            <w:pPr>
              <w:jc w:val="center"/>
              <w:rPr>
                <w:rFonts w:ascii="Times New Roman" w:hAnsi="Times New Roman" w:eastAsia="方正仿宋_GBK"/>
                <w:sz w:val="13"/>
                <w:szCs w:val="13"/>
              </w:rPr>
            </w:pPr>
            <w:r>
              <w:rPr>
                <w:rFonts w:hint="eastAsia" w:ascii="Times New Roman" w:hAnsi="Times New Roman" w:eastAsia="方正仿宋_GBK"/>
                <w:szCs w:val="21"/>
              </w:rPr>
              <w:t>≥</w:t>
            </w:r>
            <w:r>
              <w:rPr>
                <w:rFonts w:hint="eastAsia" w:ascii="Times New Roman" w:hAnsi="Times New Roman" w:eastAsia="方正仿宋_GBK"/>
                <w:szCs w:val="21"/>
                <w:lang w:val="en-US" w:eastAsia="zh-CN"/>
              </w:rPr>
              <w:t>4</w:t>
            </w:r>
            <w:r>
              <w:rPr>
                <w:rFonts w:hint="eastAsia" w:ascii="Times New Roman" w:hAnsi="Times New Roman" w:eastAsia="方正仿宋_GBK"/>
                <w:szCs w:val="21"/>
              </w:rPr>
              <w:t>0</w:t>
            </w:r>
            <w:r>
              <w:rPr>
                <w:rFonts w:ascii="Times New Roman" w:hAnsi="Times New Roman" w:eastAsia="方正仿宋_GBK"/>
                <w:szCs w:val="21"/>
              </w:rPr>
              <w:t>%</w:t>
            </w:r>
          </w:p>
        </w:tc>
      </w:tr>
      <w:tr w14:paraId="6F29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7E447F54">
            <w:pPr>
              <w:jc w:val="center"/>
              <w:rPr>
                <w:rFonts w:ascii="Times New Roman" w:hAnsi="Times New Roman" w:eastAsia="方正仿宋_GBK"/>
                <w:szCs w:val="21"/>
              </w:rPr>
            </w:pPr>
          </w:p>
        </w:tc>
        <w:tc>
          <w:tcPr>
            <w:tcW w:w="0" w:type="auto"/>
            <w:vMerge w:val="continue"/>
            <w:noWrap w:val="0"/>
            <w:vAlign w:val="center"/>
          </w:tcPr>
          <w:p w14:paraId="4A8CF656">
            <w:pPr>
              <w:jc w:val="center"/>
              <w:rPr>
                <w:rFonts w:ascii="Times New Roman" w:hAnsi="Times New Roman" w:eastAsia="方正仿宋_GBK"/>
                <w:szCs w:val="21"/>
              </w:rPr>
            </w:pPr>
          </w:p>
        </w:tc>
        <w:tc>
          <w:tcPr>
            <w:tcW w:w="0" w:type="auto"/>
            <w:noWrap w:val="0"/>
            <w:vAlign w:val="center"/>
          </w:tcPr>
          <w:p w14:paraId="05B4A10B">
            <w:pPr>
              <w:jc w:val="center"/>
              <w:rPr>
                <w:rFonts w:ascii="Times New Roman" w:hAnsi="Times New Roman" w:eastAsia="方正仿宋_GBK"/>
                <w:szCs w:val="21"/>
              </w:rPr>
            </w:pPr>
            <w:r>
              <w:rPr>
                <w:rFonts w:ascii="Times New Roman" w:hAnsi="Times New Roman" w:eastAsia="方正仿宋_GBK"/>
                <w:szCs w:val="21"/>
              </w:rPr>
              <w:t>效益指标</w:t>
            </w:r>
          </w:p>
        </w:tc>
        <w:tc>
          <w:tcPr>
            <w:tcW w:w="0" w:type="auto"/>
            <w:gridSpan w:val="2"/>
            <w:noWrap w:val="0"/>
            <w:vAlign w:val="center"/>
          </w:tcPr>
          <w:p w14:paraId="4FF59F5D">
            <w:pPr>
              <w:jc w:val="center"/>
              <w:rPr>
                <w:rFonts w:ascii="Times New Roman" w:hAnsi="Times New Roman" w:eastAsia="方正仿宋_GBK"/>
                <w:sz w:val="10"/>
                <w:szCs w:val="10"/>
              </w:rPr>
            </w:pPr>
            <w:r>
              <w:rPr>
                <w:rFonts w:hint="eastAsia" w:ascii="Times New Roman" w:hAnsi="Times New Roman" w:eastAsia="方正仿宋_GBK"/>
                <w:sz w:val="10"/>
                <w:szCs w:val="10"/>
              </w:rPr>
              <w:t>项目区基础设施条件</w:t>
            </w:r>
          </w:p>
        </w:tc>
        <w:tc>
          <w:tcPr>
            <w:tcW w:w="0" w:type="auto"/>
            <w:noWrap w:val="0"/>
            <w:vAlign w:val="center"/>
          </w:tcPr>
          <w:p w14:paraId="68583300">
            <w:pPr>
              <w:jc w:val="center"/>
              <w:rPr>
                <w:rFonts w:ascii="Times New Roman" w:hAnsi="Times New Roman" w:eastAsia="方正仿宋_GBK"/>
                <w:szCs w:val="21"/>
              </w:rPr>
            </w:pPr>
            <w:r>
              <w:rPr>
                <w:rFonts w:hint="eastAsia" w:ascii="Times New Roman" w:hAnsi="Times New Roman" w:eastAsia="方正仿宋_GBK"/>
                <w:szCs w:val="21"/>
              </w:rPr>
              <w:t>持续改善</w:t>
            </w:r>
          </w:p>
        </w:tc>
      </w:tr>
      <w:tr w14:paraId="2CD9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167AEE9E">
            <w:pPr>
              <w:jc w:val="center"/>
              <w:rPr>
                <w:rFonts w:ascii="Times New Roman" w:hAnsi="Times New Roman" w:eastAsia="方正仿宋_GBK"/>
                <w:szCs w:val="21"/>
              </w:rPr>
            </w:pPr>
          </w:p>
        </w:tc>
        <w:tc>
          <w:tcPr>
            <w:tcW w:w="0" w:type="auto"/>
            <w:vMerge w:val="continue"/>
            <w:noWrap w:val="0"/>
            <w:vAlign w:val="center"/>
          </w:tcPr>
          <w:p w14:paraId="3443F29F">
            <w:pPr>
              <w:jc w:val="center"/>
              <w:rPr>
                <w:rFonts w:ascii="Times New Roman" w:hAnsi="Times New Roman" w:eastAsia="方正仿宋_GBK"/>
                <w:szCs w:val="21"/>
              </w:rPr>
            </w:pPr>
          </w:p>
        </w:tc>
        <w:tc>
          <w:tcPr>
            <w:tcW w:w="0" w:type="auto"/>
            <w:noWrap w:val="0"/>
            <w:vAlign w:val="center"/>
          </w:tcPr>
          <w:p w14:paraId="5B3714C8">
            <w:pPr>
              <w:jc w:val="center"/>
              <w:rPr>
                <w:rFonts w:ascii="Times New Roman" w:hAnsi="Times New Roman" w:eastAsia="方正仿宋_GBK"/>
                <w:szCs w:val="21"/>
              </w:rPr>
            </w:pPr>
            <w:r>
              <w:rPr>
                <w:rFonts w:ascii="Times New Roman" w:hAnsi="Times New Roman" w:eastAsia="方正仿宋_GBK"/>
                <w:szCs w:val="21"/>
              </w:rPr>
              <w:t>满意度指标</w:t>
            </w:r>
          </w:p>
        </w:tc>
        <w:tc>
          <w:tcPr>
            <w:tcW w:w="0" w:type="auto"/>
            <w:gridSpan w:val="2"/>
            <w:noWrap w:val="0"/>
            <w:vAlign w:val="center"/>
          </w:tcPr>
          <w:p w14:paraId="0F155934">
            <w:pPr>
              <w:jc w:val="center"/>
              <w:rPr>
                <w:rFonts w:ascii="Times New Roman" w:hAnsi="Times New Roman" w:eastAsia="方正仿宋_GBK"/>
                <w:sz w:val="10"/>
                <w:szCs w:val="10"/>
              </w:rPr>
            </w:pPr>
            <w:r>
              <w:rPr>
                <w:rFonts w:hint="eastAsia" w:ascii="Times New Roman" w:hAnsi="Times New Roman" w:eastAsia="方正仿宋_GBK"/>
                <w:sz w:val="10"/>
                <w:szCs w:val="10"/>
              </w:rPr>
              <w:t>参与工程建设的务工群众满意度</w:t>
            </w:r>
          </w:p>
        </w:tc>
        <w:tc>
          <w:tcPr>
            <w:tcW w:w="0" w:type="auto"/>
            <w:noWrap w:val="0"/>
            <w:vAlign w:val="center"/>
          </w:tcPr>
          <w:p w14:paraId="6579BEBA">
            <w:pPr>
              <w:jc w:val="center"/>
              <w:rPr>
                <w:rFonts w:ascii="Times New Roman" w:hAnsi="Times New Roman" w:eastAsia="方正仿宋_GBK"/>
                <w:szCs w:val="21"/>
              </w:rPr>
            </w:pPr>
            <w:r>
              <w:rPr>
                <w:rFonts w:hint="eastAsia" w:ascii="Times New Roman" w:hAnsi="Times New Roman" w:eastAsia="方正仿宋_GBK"/>
                <w:szCs w:val="21"/>
              </w:rPr>
              <w:t>≥90</w:t>
            </w:r>
            <w:r>
              <w:rPr>
                <w:rFonts w:ascii="Times New Roman" w:hAnsi="Times New Roman" w:eastAsia="方正仿宋_GBK"/>
                <w:szCs w:val="21"/>
              </w:rPr>
              <w:t>%</w:t>
            </w:r>
          </w:p>
        </w:tc>
      </w:tr>
      <w:tr w14:paraId="32F5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1E5CE58B">
            <w:pPr>
              <w:jc w:val="center"/>
              <w:rPr>
                <w:rFonts w:ascii="Times New Roman" w:hAnsi="Times New Roman" w:eastAsia="方正仿宋_GBK"/>
                <w:szCs w:val="21"/>
              </w:rPr>
            </w:pPr>
          </w:p>
        </w:tc>
        <w:tc>
          <w:tcPr>
            <w:tcW w:w="0" w:type="auto"/>
            <w:vMerge w:val="restart"/>
            <w:noWrap w:val="0"/>
            <w:vAlign w:val="center"/>
          </w:tcPr>
          <w:p w14:paraId="07A74AA4">
            <w:pPr>
              <w:jc w:val="center"/>
              <w:rPr>
                <w:rFonts w:ascii="Times New Roman" w:hAnsi="Times New Roman" w:eastAsia="方正仿宋_GBK"/>
                <w:szCs w:val="21"/>
              </w:rPr>
            </w:pPr>
            <w:r>
              <w:rPr>
                <w:rFonts w:ascii="Times New Roman" w:hAnsi="Times New Roman" w:eastAsia="方正仿宋_GBK"/>
                <w:szCs w:val="21"/>
              </w:rPr>
              <w:t>过程管理指标</w:t>
            </w:r>
          </w:p>
        </w:tc>
        <w:tc>
          <w:tcPr>
            <w:tcW w:w="0" w:type="auto"/>
            <w:vMerge w:val="restart"/>
            <w:noWrap w:val="0"/>
            <w:vAlign w:val="center"/>
          </w:tcPr>
          <w:p w14:paraId="18180873">
            <w:pPr>
              <w:jc w:val="center"/>
              <w:rPr>
                <w:rFonts w:ascii="Times New Roman" w:hAnsi="Times New Roman" w:eastAsia="方正仿宋_GBK"/>
                <w:szCs w:val="21"/>
              </w:rPr>
            </w:pPr>
            <w:r>
              <w:rPr>
                <w:rFonts w:ascii="Times New Roman" w:hAnsi="Times New Roman" w:eastAsia="方正仿宋_GBK"/>
                <w:szCs w:val="21"/>
              </w:rPr>
              <w:t>计划管理指标</w:t>
            </w:r>
          </w:p>
        </w:tc>
        <w:tc>
          <w:tcPr>
            <w:tcW w:w="0" w:type="auto"/>
            <w:gridSpan w:val="2"/>
            <w:noWrap w:val="0"/>
            <w:vAlign w:val="center"/>
          </w:tcPr>
          <w:p w14:paraId="727B66F2">
            <w:pPr>
              <w:jc w:val="center"/>
              <w:rPr>
                <w:rFonts w:ascii="Times New Roman" w:hAnsi="Times New Roman" w:eastAsia="方正仿宋_GBK"/>
                <w:sz w:val="10"/>
                <w:szCs w:val="10"/>
              </w:rPr>
            </w:pPr>
            <w:r>
              <w:rPr>
                <w:rFonts w:ascii="Times New Roman" w:hAnsi="Times New Roman" w:eastAsia="方正仿宋_GBK"/>
                <w:sz w:val="10"/>
                <w:szCs w:val="10"/>
              </w:rPr>
              <w:t>投资计划分解（转发）用时</w:t>
            </w:r>
          </w:p>
        </w:tc>
        <w:tc>
          <w:tcPr>
            <w:tcW w:w="0" w:type="auto"/>
            <w:noWrap w:val="0"/>
            <w:vAlign w:val="center"/>
          </w:tcPr>
          <w:p w14:paraId="1DE533DF">
            <w:pPr>
              <w:jc w:val="center"/>
              <w:rPr>
                <w:rFonts w:ascii="Times New Roman" w:hAnsi="Times New Roman" w:eastAsia="方正仿宋_GBK"/>
                <w:szCs w:val="21"/>
              </w:rPr>
            </w:pPr>
            <w:r>
              <w:rPr>
                <w:rFonts w:hint="eastAsia" w:ascii="Times New Roman" w:hAnsi="Times New Roman" w:eastAsia="方正仿宋_GBK"/>
                <w:szCs w:val="21"/>
              </w:rPr>
              <w:t>≤10个工作日</w:t>
            </w:r>
          </w:p>
        </w:tc>
      </w:tr>
      <w:tr w14:paraId="004B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638809C6">
            <w:pPr>
              <w:jc w:val="center"/>
              <w:rPr>
                <w:rFonts w:ascii="Times New Roman" w:hAnsi="Times New Roman" w:eastAsia="方正仿宋_GBK"/>
                <w:szCs w:val="21"/>
              </w:rPr>
            </w:pPr>
          </w:p>
        </w:tc>
        <w:tc>
          <w:tcPr>
            <w:tcW w:w="0" w:type="auto"/>
            <w:vMerge w:val="continue"/>
            <w:noWrap w:val="0"/>
            <w:vAlign w:val="center"/>
          </w:tcPr>
          <w:p w14:paraId="3F364960">
            <w:pPr>
              <w:jc w:val="center"/>
              <w:rPr>
                <w:rFonts w:ascii="Times New Roman" w:hAnsi="Times New Roman" w:eastAsia="方正仿宋_GBK"/>
                <w:szCs w:val="21"/>
              </w:rPr>
            </w:pPr>
          </w:p>
        </w:tc>
        <w:tc>
          <w:tcPr>
            <w:tcW w:w="0" w:type="auto"/>
            <w:vMerge w:val="continue"/>
            <w:noWrap w:val="0"/>
            <w:vAlign w:val="center"/>
          </w:tcPr>
          <w:p w14:paraId="43CA73E4">
            <w:pPr>
              <w:jc w:val="center"/>
              <w:rPr>
                <w:rFonts w:ascii="Times New Roman" w:hAnsi="Times New Roman" w:eastAsia="方正仿宋_GBK"/>
                <w:szCs w:val="21"/>
              </w:rPr>
            </w:pPr>
          </w:p>
        </w:tc>
        <w:tc>
          <w:tcPr>
            <w:tcW w:w="0" w:type="auto"/>
            <w:gridSpan w:val="2"/>
            <w:noWrap w:val="0"/>
            <w:vAlign w:val="center"/>
          </w:tcPr>
          <w:p w14:paraId="22C6493F">
            <w:pPr>
              <w:jc w:val="center"/>
              <w:rPr>
                <w:rFonts w:ascii="Times New Roman" w:hAnsi="Times New Roman" w:eastAsia="方正仿宋_GBK"/>
                <w:sz w:val="10"/>
                <w:szCs w:val="10"/>
              </w:rPr>
            </w:pPr>
            <w:r>
              <w:rPr>
                <w:rFonts w:hint="eastAsia" w:ascii="Times New Roman" w:hAnsi="Times New Roman" w:eastAsia="方正仿宋_GBK"/>
                <w:sz w:val="10"/>
                <w:szCs w:val="10"/>
              </w:rPr>
              <w:t>“</w:t>
            </w:r>
            <w:r>
              <w:rPr>
                <w:rFonts w:ascii="Times New Roman" w:hAnsi="Times New Roman" w:eastAsia="方正仿宋_GBK"/>
                <w:sz w:val="10"/>
                <w:szCs w:val="10"/>
              </w:rPr>
              <w:t>两个责任</w:t>
            </w:r>
            <w:r>
              <w:rPr>
                <w:rFonts w:hint="eastAsia" w:ascii="Times New Roman" w:hAnsi="Times New Roman" w:eastAsia="方正仿宋_GBK"/>
                <w:sz w:val="10"/>
                <w:szCs w:val="10"/>
              </w:rPr>
              <w:t>”</w:t>
            </w:r>
            <w:r>
              <w:rPr>
                <w:rFonts w:ascii="Times New Roman" w:hAnsi="Times New Roman" w:eastAsia="方正仿宋_GBK"/>
                <w:sz w:val="10"/>
                <w:szCs w:val="10"/>
              </w:rPr>
              <w:t>按项目落实到位率</w:t>
            </w:r>
          </w:p>
        </w:tc>
        <w:tc>
          <w:tcPr>
            <w:tcW w:w="0" w:type="auto"/>
            <w:noWrap w:val="0"/>
            <w:vAlign w:val="center"/>
          </w:tcPr>
          <w:p w14:paraId="0CE013B5">
            <w:pPr>
              <w:jc w:val="center"/>
              <w:rPr>
                <w:rFonts w:ascii="Times New Roman" w:hAnsi="Times New Roman" w:eastAsia="方正仿宋_GBK"/>
                <w:szCs w:val="21"/>
              </w:rPr>
            </w:pPr>
            <w:r>
              <w:rPr>
                <w:rFonts w:ascii="Times New Roman" w:hAnsi="Times New Roman" w:eastAsia="方正仿宋_GBK"/>
                <w:szCs w:val="21"/>
              </w:rPr>
              <w:t>100%</w:t>
            </w:r>
          </w:p>
        </w:tc>
      </w:tr>
      <w:tr w14:paraId="307E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2C1E6CDD">
            <w:pPr>
              <w:jc w:val="center"/>
              <w:rPr>
                <w:rFonts w:ascii="Times New Roman" w:hAnsi="Times New Roman" w:eastAsia="方正仿宋_GBK"/>
                <w:szCs w:val="21"/>
              </w:rPr>
            </w:pPr>
          </w:p>
        </w:tc>
        <w:tc>
          <w:tcPr>
            <w:tcW w:w="0" w:type="auto"/>
            <w:vMerge w:val="continue"/>
            <w:noWrap w:val="0"/>
            <w:vAlign w:val="center"/>
          </w:tcPr>
          <w:p w14:paraId="649D8B0F">
            <w:pPr>
              <w:jc w:val="center"/>
              <w:rPr>
                <w:rFonts w:ascii="Times New Roman" w:hAnsi="Times New Roman" w:eastAsia="方正仿宋_GBK"/>
                <w:szCs w:val="21"/>
              </w:rPr>
            </w:pPr>
          </w:p>
        </w:tc>
        <w:tc>
          <w:tcPr>
            <w:tcW w:w="0" w:type="auto"/>
            <w:vMerge w:val="restart"/>
            <w:noWrap w:val="0"/>
            <w:vAlign w:val="center"/>
          </w:tcPr>
          <w:p w14:paraId="2F33A1A0">
            <w:pPr>
              <w:jc w:val="center"/>
              <w:rPr>
                <w:rFonts w:ascii="Times New Roman" w:hAnsi="Times New Roman" w:eastAsia="方正仿宋_GBK"/>
                <w:szCs w:val="21"/>
              </w:rPr>
            </w:pPr>
            <w:r>
              <w:rPr>
                <w:rFonts w:ascii="Times New Roman" w:hAnsi="Times New Roman" w:eastAsia="方正仿宋_GBK"/>
                <w:szCs w:val="21"/>
              </w:rPr>
              <w:t>资金管理指标</w:t>
            </w:r>
          </w:p>
        </w:tc>
        <w:tc>
          <w:tcPr>
            <w:tcW w:w="0" w:type="auto"/>
            <w:gridSpan w:val="2"/>
            <w:noWrap w:val="0"/>
            <w:vAlign w:val="center"/>
          </w:tcPr>
          <w:p w14:paraId="5A189A2A">
            <w:pPr>
              <w:jc w:val="center"/>
              <w:rPr>
                <w:rFonts w:ascii="Times New Roman" w:hAnsi="Times New Roman" w:eastAsia="方正仿宋_GBK"/>
                <w:sz w:val="10"/>
                <w:szCs w:val="10"/>
              </w:rPr>
            </w:pPr>
            <w:r>
              <w:rPr>
                <w:rFonts w:ascii="Times New Roman" w:hAnsi="Times New Roman" w:eastAsia="方正仿宋_GBK"/>
                <w:sz w:val="10"/>
                <w:szCs w:val="10"/>
              </w:rPr>
              <w:t>中央预算内投资支付率</w:t>
            </w:r>
          </w:p>
        </w:tc>
        <w:tc>
          <w:tcPr>
            <w:tcW w:w="0" w:type="auto"/>
            <w:noWrap w:val="0"/>
            <w:vAlign w:val="center"/>
          </w:tcPr>
          <w:p w14:paraId="174F1093">
            <w:pPr>
              <w:jc w:val="center"/>
              <w:rPr>
                <w:rFonts w:ascii="Times New Roman" w:hAnsi="Times New Roman" w:eastAsia="方正仿宋_GBK"/>
                <w:szCs w:val="21"/>
              </w:rPr>
            </w:pPr>
            <w:r>
              <w:rPr>
                <w:rFonts w:hint="eastAsia" w:ascii="Times New Roman" w:hAnsi="Times New Roman" w:eastAsia="方正仿宋_GBK"/>
                <w:szCs w:val="21"/>
              </w:rPr>
              <w:t>≥95</w:t>
            </w:r>
            <w:r>
              <w:rPr>
                <w:rFonts w:ascii="Times New Roman" w:hAnsi="Times New Roman" w:eastAsia="方正仿宋_GBK"/>
                <w:szCs w:val="21"/>
              </w:rPr>
              <w:t>%</w:t>
            </w:r>
          </w:p>
        </w:tc>
      </w:tr>
      <w:tr w14:paraId="4453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5B53D2C8">
            <w:pPr>
              <w:jc w:val="center"/>
              <w:rPr>
                <w:rFonts w:ascii="Times New Roman" w:hAnsi="Times New Roman" w:eastAsia="方正仿宋_GBK"/>
                <w:szCs w:val="21"/>
              </w:rPr>
            </w:pPr>
          </w:p>
        </w:tc>
        <w:tc>
          <w:tcPr>
            <w:tcW w:w="0" w:type="auto"/>
            <w:vMerge w:val="continue"/>
            <w:noWrap w:val="0"/>
            <w:vAlign w:val="center"/>
          </w:tcPr>
          <w:p w14:paraId="2905A298">
            <w:pPr>
              <w:jc w:val="center"/>
              <w:rPr>
                <w:rFonts w:ascii="Times New Roman" w:hAnsi="Times New Roman" w:eastAsia="方正仿宋_GBK"/>
                <w:szCs w:val="21"/>
              </w:rPr>
            </w:pPr>
          </w:p>
        </w:tc>
        <w:tc>
          <w:tcPr>
            <w:tcW w:w="0" w:type="auto"/>
            <w:vMerge w:val="continue"/>
            <w:noWrap w:val="0"/>
            <w:vAlign w:val="center"/>
          </w:tcPr>
          <w:p w14:paraId="3B49E04B">
            <w:pPr>
              <w:jc w:val="center"/>
              <w:rPr>
                <w:rFonts w:ascii="Times New Roman" w:hAnsi="Times New Roman" w:eastAsia="方正仿宋_GBK"/>
                <w:szCs w:val="21"/>
              </w:rPr>
            </w:pPr>
          </w:p>
        </w:tc>
        <w:tc>
          <w:tcPr>
            <w:tcW w:w="0" w:type="auto"/>
            <w:gridSpan w:val="2"/>
            <w:noWrap w:val="0"/>
            <w:vAlign w:val="center"/>
          </w:tcPr>
          <w:p w14:paraId="44E5157E">
            <w:pPr>
              <w:jc w:val="center"/>
              <w:rPr>
                <w:rFonts w:ascii="Times New Roman" w:hAnsi="Times New Roman" w:eastAsia="方正仿宋_GBK"/>
                <w:sz w:val="10"/>
                <w:szCs w:val="10"/>
              </w:rPr>
            </w:pPr>
            <w:r>
              <w:rPr>
                <w:rFonts w:ascii="Times New Roman" w:hAnsi="Times New Roman" w:eastAsia="方正仿宋_GBK"/>
                <w:sz w:val="10"/>
                <w:szCs w:val="10"/>
              </w:rPr>
              <w:t>年度计划投资完成率</w:t>
            </w:r>
          </w:p>
        </w:tc>
        <w:tc>
          <w:tcPr>
            <w:tcW w:w="0" w:type="auto"/>
            <w:noWrap w:val="0"/>
            <w:vAlign w:val="center"/>
          </w:tcPr>
          <w:p w14:paraId="0F1DDF94">
            <w:pPr>
              <w:jc w:val="center"/>
              <w:rPr>
                <w:rFonts w:ascii="Times New Roman" w:hAnsi="Times New Roman" w:eastAsia="方正仿宋_GBK"/>
                <w:szCs w:val="21"/>
              </w:rPr>
            </w:pPr>
            <w:r>
              <w:rPr>
                <w:rFonts w:hint="eastAsia" w:ascii="Times New Roman" w:hAnsi="Times New Roman" w:eastAsia="方正仿宋_GBK"/>
                <w:szCs w:val="21"/>
              </w:rPr>
              <w:t>≥95</w:t>
            </w:r>
            <w:r>
              <w:rPr>
                <w:rFonts w:ascii="Times New Roman" w:hAnsi="Times New Roman" w:eastAsia="方正仿宋_GBK"/>
                <w:szCs w:val="21"/>
              </w:rPr>
              <w:t>%</w:t>
            </w:r>
          </w:p>
        </w:tc>
      </w:tr>
      <w:tr w14:paraId="5C10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37AD5480">
            <w:pPr>
              <w:jc w:val="center"/>
              <w:rPr>
                <w:rFonts w:ascii="Times New Roman" w:hAnsi="Times New Roman" w:eastAsia="方正仿宋_GBK"/>
                <w:szCs w:val="21"/>
              </w:rPr>
            </w:pPr>
          </w:p>
        </w:tc>
        <w:tc>
          <w:tcPr>
            <w:tcW w:w="0" w:type="auto"/>
            <w:vMerge w:val="continue"/>
            <w:noWrap w:val="0"/>
            <w:vAlign w:val="center"/>
          </w:tcPr>
          <w:p w14:paraId="2B2F025D">
            <w:pPr>
              <w:jc w:val="center"/>
              <w:rPr>
                <w:rFonts w:ascii="Times New Roman" w:hAnsi="Times New Roman" w:eastAsia="方正仿宋_GBK"/>
                <w:szCs w:val="21"/>
              </w:rPr>
            </w:pPr>
          </w:p>
        </w:tc>
        <w:tc>
          <w:tcPr>
            <w:tcW w:w="0" w:type="auto"/>
            <w:vMerge w:val="restart"/>
            <w:noWrap w:val="0"/>
            <w:vAlign w:val="center"/>
          </w:tcPr>
          <w:p w14:paraId="27E9B442">
            <w:pPr>
              <w:jc w:val="center"/>
              <w:rPr>
                <w:rFonts w:ascii="Times New Roman" w:hAnsi="Times New Roman" w:eastAsia="方正仿宋_GBK"/>
                <w:szCs w:val="21"/>
              </w:rPr>
            </w:pPr>
            <w:r>
              <w:rPr>
                <w:rFonts w:ascii="Times New Roman" w:hAnsi="Times New Roman" w:eastAsia="方正仿宋_GBK"/>
                <w:szCs w:val="21"/>
              </w:rPr>
              <w:t>项目管理指标</w:t>
            </w:r>
          </w:p>
        </w:tc>
        <w:tc>
          <w:tcPr>
            <w:tcW w:w="0" w:type="auto"/>
            <w:gridSpan w:val="2"/>
            <w:noWrap w:val="0"/>
            <w:vAlign w:val="center"/>
          </w:tcPr>
          <w:p w14:paraId="552B53BF">
            <w:pPr>
              <w:jc w:val="center"/>
              <w:rPr>
                <w:rFonts w:ascii="Times New Roman" w:hAnsi="Times New Roman" w:eastAsia="方正仿宋_GBK"/>
                <w:sz w:val="10"/>
                <w:szCs w:val="10"/>
              </w:rPr>
            </w:pPr>
            <w:r>
              <w:rPr>
                <w:rFonts w:ascii="Times New Roman" w:hAnsi="Times New Roman" w:eastAsia="方正仿宋_GBK"/>
                <w:sz w:val="10"/>
                <w:szCs w:val="10"/>
              </w:rPr>
              <w:t>项目开工率</w:t>
            </w:r>
          </w:p>
        </w:tc>
        <w:tc>
          <w:tcPr>
            <w:tcW w:w="0" w:type="auto"/>
            <w:noWrap w:val="0"/>
            <w:vAlign w:val="center"/>
          </w:tcPr>
          <w:p w14:paraId="6A4389F9">
            <w:pPr>
              <w:jc w:val="center"/>
              <w:rPr>
                <w:rFonts w:ascii="Times New Roman" w:hAnsi="Times New Roman" w:eastAsia="方正仿宋_GBK"/>
                <w:szCs w:val="21"/>
              </w:rPr>
            </w:pPr>
            <w:r>
              <w:rPr>
                <w:rFonts w:hint="eastAsia" w:ascii="Times New Roman" w:hAnsi="Times New Roman" w:eastAsia="方正仿宋_GBK"/>
                <w:szCs w:val="21"/>
              </w:rPr>
              <w:t>≥95</w:t>
            </w:r>
            <w:r>
              <w:rPr>
                <w:rFonts w:ascii="Times New Roman" w:hAnsi="Times New Roman" w:eastAsia="方正仿宋_GBK"/>
                <w:szCs w:val="21"/>
              </w:rPr>
              <w:t>%</w:t>
            </w:r>
          </w:p>
        </w:tc>
      </w:tr>
      <w:tr w14:paraId="2313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31558197">
            <w:pPr>
              <w:jc w:val="center"/>
              <w:rPr>
                <w:rFonts w:ascii="Times New Roman" w:hAnsi="Times New Roman" w:eastAsia="方正仿宋_GBK"/>
                <w:szCs w:val="21"/>
              </w:rPr>
            </w:pPr>
          </w:p>
        </w:tc>
        <w:tc>
          <w:tcPr>
            <w:tcW w:w="0" w:type="auto"/>
            <w:vMerge w:val="continue"/>
            <w:noWrap w:val="0"/>
            <w:vAlign w:val="center"/>
          </w:tcPr>
          <w:p w14:paraId="2839C733">
            <w:pPr>
              <w:jc w:val="center"/>
              <w:rPr>
                <w:rFonts w:ascii="Times New Roman" w:hAnsi="Times New Roman" w:eastAsia="方正仿宋_GBK"/>
                <w:szCs w:val="21"/>
              </w:rPr>
            </w:pPr>
          </w:p>
        </w:tc>
        <w:tc>
          <w:tcPr>
            <w:tcW w:w="0" w:type="auto"/>
            <w:vMerge w:val="continue"/>
            <w:noWrap w:val="0"/>
            <w:vAlign w:val="top"/>
          </w:tcPr>
          <w:p w14:paraId="5DDA1112">
            <w:pPr>
              <w:jc w:val="center"/>
              <w:rPr>
                <w:rFonts w:ascii="Times New Roman" w:hAnsi="Times New Roman" w:eastAsia="方正仿宋_GBK"/>
                <w:szCs w:val="21"/>
              </w:rPr>
            </w:pPr>
          </w:p>
        </w:tc>
        <w:tc>
          <w:tcPr>
            <w:tcW w:w="0" w:type="auto"/>
            <w:gridSpan w:val="2"/>
            <w:noWrap w:val="0"/>
            <w:vAlign w:val="center"/>
          </w:tcPr>
          <w:p w14:paraId="6C3B7AE5">
            <w:pPr>
              <w:jc w:val="center"/>
              <w:rPr>
                <w:rFonts w:ascii="Times New Roman" w:hAnsi="Times New Roman" w:eastAsia="方正仿宋_GBK"/>
                <w:sz w:val="10"/>
                <w:szCs w:val="10"/>
              </w:rPr>
            </w:pPr>
            <w:r>
              <w:rPr>
                <w:rFonts w:ascii="Times New Roman" w:hAnsi="Times New Roman" w:eastAsia="方正仿宋_GBK"/>
                <w:sz w:val="10"/>
                <w:szCs w:val="10"/>
              </w:rPr>
              <w:t>超规模、超标准、超概算项目比例</w:t>
            </w:r>
          </w:p>
        </w:tc>
        <w:tc>
          <w:tcPr>
            <w:tcW w:w="0" w:type="auto"/>
            <w:noWrap w:val="0"/>
            <w:vAlign w:val="center"/>
          </w:tcPr>
          <w:p w14:paraId="38263EEE">
            <w:pPr>
              <w:jc w:val="center"/>
              <w:rPr>
                <w:rFonts w:hint="eastAsia" w:ascii="Times New Roman" w:hAnsi="Times New Roman" w:eastAsia="方正仿宋_GBK"/>
                <w:szCs w:val="21"/>
              </w:rPr>
            </w:pPr>
            <w:r>
              <w:rPr>
                <w:rFonts w:hint="eastAsia" w:ascii="Times New Roman" w:hAnsi="Times New Roman" w:eastAsia="方正仿宋_GBK"/>
                <w:szCs w:val="21"/>
              </w:rPr>
              <w:t>0</w:t>
            </w:r>
          </w:p>
        </w:tc>
      </w:tr>
      <w:tr w14:paraId="34EF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exact"/>
        </w:trPr>
        <w:tc>
          <w:tcPr>
            <w:tcW w:w="0" w:type="auto"/>
            <w:vMerge w:val="continue"/>
            <w:noWrap w:val="0"/>
            <w:vAlign w:val="center"/>
          </w:tcPr>
          <w:p w14:paraId="63E6142C">
            <w:pPr>
              <w:jc w:val="center"/>
              <w:rPr>
                <w:rFonts w:ascii="Times New Roman" w:hAnsi="Times New Roman" w:eastAsia="方正仿宋_GBK"/>
                <w:szCs w:val="21"/>
              </w:rPr>
            </w:pPr>
          </w:p>
        </w:tc>
        <w:tc>
          <w:tcPr>
            <w:tcW w:w="0" w:type="auto"/>
            <w:vMerge w:val="continue"/>
            <w:noWrap w:val="0"/>
            <w:vAlign w:val="center"/>
          </w:tcPr>
          <w:p w14:paraId="5CAD3197">
            <w:pPr>
              <w:jc w:val="center"/>
              <w:rPr>
                <w:rFonts w:ascii="Times New Roman" w:hAnsi="Times New Roman" w:eastAsia="方正仿宋_GBK"/>
                <w:szCs w:val="21"/>
              </w:rPr>
            </w:pPr>
          </w:p>
        </w:tc>
        <w:tc>
          <w:tcPr>
            <w:tcW w:w="0" w:type="auto"/>
            <w:noWrap w:val="0"/>
            <w:vAlign w:val="center"/>
          </w:tcPr>
          <w:p w14:paraId="61B16200">
            <w:pPr>
              <w:jc w:val="center"/>
              <w:rPr>
                <w:rFonts w:ascii="Times New Roman" w:hAnsi="Times New Roman" w:eastAsia="方正仿宋_GBK"/>
                <w:szCs w:val="21"/>
              </w:rPr>
            </w:pPr>
            <w:r>
              <w:rPr>
                <w:rFonts w:ascii="Times New Roman" w:hAnsi="Times New Roman" w:eastAsia="方正仿宋_GBK"/>
                <w:szCs w:val="21"/>
              </w:rPr>
              <w:t>监督检查指标</w:t>
            </w:r>
          </w:p>
        </w:tc>
        <w:tc>
          <w:tcPr>
            <w:tcW w:w="0" w:type="auto"/>
            <w:gridSpan w:val="2"/>
            <w:noWrap w:val="0"/>
            <w:vAlign w:val="center"/>
          </w:tcPr>
          <w:p w14:paraId="4A868B9C">
            <w:pPr>
              <w:snapToGrid w:val="0"/>
              <w:jc w:val="center"/>
              <w:rPr>
                <w:rFonts w:ascii="Times New Roman" w:hAnsi="Times New Roman" w:eastAsia="方正仿宋_GBK"/>
                <w:sz w:val="10"/>
                <w:szCs w:val="10"/>
              </w:rPr>
            </w:pPr>
            <w:r>
              <w:rPr>
                <w:rFonts w:ascii="Times New Roman" w:hAnsi="Times New Roman" w:eastAsia="方正仿宋_GBK"/>
                <w:sz w:val="10"/>
                <w:szCs w:val="10"/>
              </w:rPr>
              <w:t>审计、督查、巡视等指出问题项目比例</w:t>
            </w:r>
          </w:p>
        </w:tc>
        <w:tc>
          <w:tcPr>
            <w:tcW w:w="0" w:type="auto"/>
            <w:noWrap w:val="0"/>
            <w:vAlign w:val="center"/>
          </w:tcPr>
          <w:p w14:paraId="61A111E2">
            <w:pPr>
              <w:snapToGrid w:val="0"/>
              <w:jc w:val="center"/>
              <w:rPr>
                <w:rFonts w:ascii="Times New Roman" w:hAnsi="Times New Roman" w:eastAsia="方正仿宋_GBK"/>
                <w:szCs w:val="21"/>
              </w:rPr>
            </w:pPr>
            <w:r>
              <w:rPr>
                <w:rFonts w:hint="eastAsia" w:ascii="Times New Roman" w:hAnsi="Times New Roman" w:eastAsia="方正仿宋_GBK"/>
                <w:szCs w:val="21"/>
              </w:rPr>
              <w:t>≤1%</w:t>
            </w:r>
          </w:p>
        </w:tc>
      </w:tr>
    </w:tbl>
    <w:p w14:paraId="61296C8E">
      <w:pPr>
        <w:rPr>
          <w:rFonts w:hint="eastAsia" w:ascii="Times New Roman" w:hAnsi="Times New Roman" w:eastAsia="黑体"/>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984" w:right="1474" w:bottom="1701" w:left="1587" w:header="851" w:footer="1474" w:gutter="0"/>
      <w:pgNumType w:start="1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楷体_GBK">
    <w:altName w:val="微软雅黑"/>
    <w:panose1 w:val="02000000000000000000"/>
    <w:charset w:val="86"/>
    <w:family w:val="script"/>
    <w:pitch w:val="default"/>
    <w:sig w:usb0="00000001" w:usb1="08000000" w:usb2="00000000" w:usb3="00000000" w:csb0="00040000" w:csb1="00000000"/>
  </w:font>
  <w:font w:name="方正仿宋_GBK">
    <w:altName w:val="微软雅黑"/>
    <w:panose1 w:val="02000000000000000000"/>
    <w:charset w:val="86"/>
    <w:family w:val="script"/>
    <w:pitch w:val="default"/>
    <w:sig w:usb0="00000001" w:usb1="08000000" w:usb2="00000000" w:usb3="00000000" w:csb0="00040000" w:csb1="00000000"/>
  </w:font>
  <w:font w:name="方正小标宋_GBK">
    <w:altName w:val="微软雅黑"/>
    <w:panose1 w:val="02000000000000000000"/>
    <w:charset w:val="86"/>
    <w:family w:val="script"/>
    <w:pitch w:val="default"/>
    <w:sig w:usb0="00000001" w:usb1="08000000" w:usb2="00000000" w:usb3="00000000" w:csb0="00040000" w:csb1="00000000"/>
  </w:font>
  <w:font w:name="方正小标宋简体">
    <w:altName w:val="黑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24F9C">
    <w:pPr>
      <w:pStyle w:val="4"/>
      <w:ind w:right="141"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80782">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3E2BD">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905C1">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52195">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3E73F">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9E01D9"/>
    <w:rsid w:val="000A5E17"/>
    <w:rsid w:val="000B6804"/>
    <w:rsid w:val="000E3123"/>
    <w:rsid w:val="00110EA5"/>
    <w:rsid w:val="00167C9C"/>
    <w:rsid w:val="00173C58"/>
    <w:rsid w:val="0018076B"/>
    <w:rsid w:val="001A03D3"/>
    <w:rsid w:val="001B2B07"/>
    <w:rsid w:val="001C10F8"/>
    <w:rsid w:val="001D1461"/>
    <w:rsid w:val="001E48B4"/>
    <w:rsid w:val="002427BA"/>
    <w:rsid w:val="002662EA"/>
    <w:rsid w:val="00290ECF"/>
    <w:rsid w:val="002B6C7D"/>
    <w:rsid w:val="002C4944"/>
    <w:rsid w:val="002D6BC1"/>
    <w:rsid w:val="002F1893"/>
    <w:rsid w:val="002F3793"/>
    <w:rsid w:val="002F56CB"/>
    <w:rsid w:val="002F6219"/>
    <w:rsid w:val="002F6C66"/>
    <w:rsid w:val="00312B02"/>
    <w:rsid w:val="003142FB"/>
    <w:rsid w:val="00331463"/>
    <w:rsid w:val="0034618C"/>
    <w:rsid w:val="0036409C"/>
    <w:rsid w:val="00372133"/>
    <w:rsid w:val="003D346B"/>
    <w:rsid w:val="003F0D9D"/>
    <w:rsid w:val="00412AA6"/>
    <w:rsid w:val="00431BD3"/>
    <w:rsid w:val="00443488"/>
    <w:rsid w:val="00444F17"/>
    <w:rsid w:val="00460859"/>
    <w:rsid w:val="00466E5C"/>
    <w:rsid w:val="00480FAD"/>
    <w:rsid w:val="00485CED"/>
    <w:rsid w:val="00492427"/>
    <w:rsid w:val="004C3DA5"/>
    <w:rsid w:val="004C5937"/>
    <w:rsid w:val="004E17A3"/>
    <w:rsid w:val="004E7C68"/>
    <w:rsid w:val="00532FB2"/>
    <w:rsid w:val="00540090"/>
    <w:rsid w:val="0055540C"/>
    <w:rsid w:val="005B3E96"/>
    <w:rsid w:val="005B7288"/>
    <w:rsid w:val="005F2687"/>
    <w:rsid w:val="006221B8"/>
    <w:rsid w:val="00641D74"/>
    <w:rsid w:val="006570E9"/>
    <w:rsid w:val="00661EC8"/>
    <w:rsid w:val="00677E83"/>
    <w:rsid w:val="00684C20"/>
    <w:rsid w:val="0069148A"/>
    <w:rsid w:val="006A0B60"/>
    <w:rsid w:val="006B4722"/>
    <w:rsid w:val="006E15ED"/>
    <w:rsid w:val="006E2038"/>
    <w:rsid w:val="00713330"/>
    <w:rsid w:val="00721431"/>
    <w:rsid w:val="00723F2B"/>
    <w:rsid w:val="00787F24"/>
    <w:rsid w:val="007A779A"/>
    <w:rsid w:val="007C22A5"/>
    <w:rsid w:val="007D39E0"/>
    <w:rsid w:val="0080471D"/>
    <w:rsid w:val="008053C1"/>
    <w:rsid w:val="0081383A"/>
    <w:rsid w:val="00827449"/>
    <w:rsid w:val="008337E7"/>
    <w:rsid w:val="008472FC"/>
    <w:rsid w:val="00855825"/>
    <w:rsid w:val="008711F3"/>
    <w:rsid w:val="0088404D"/>
    <w:rsid w:val="008A4F91"/>
    <w:rsid w:val="008A70F1"/>
    <w:rsid w:val="008C2B04"/>
    <w:rsid w:val="008E258D"/>
    <w:rsid w:val="008E7CDF"/>
    <w:rsid w:val="00904C3B"/>
    <w:rsid w:val="00906D1F"/>
    <w:rsid w:val="00906FB0"/>
    <w:rsid w:val="00917287"/>
    <w:rsid w:val="00924AAE"/>
    <w:rsid w:val="00936E02"/>
    <w:rsid w:val="00976B46"/>
    <w:rsid w:val="00977B32"/>
    <w:rsid w:val="009E3CF6"/>
    <w:rsid w:val="009F56F4"/>
    <w:rsid w:val="009F6C68"/>
    <w:rsid w:val="00A04953"/>
    <w:rsid w:val="00A44611"/>
    <w:rsid w:val="00A50AA0"/>
    <w:rsid w:val="00A54665"/>
    <w:rsid w:val="00A65795"/>
    <w:rsid w:val="00AE506B"/>
    <w:rsid w:val="00AF58CA"/>
    <w:rsid w:val="00B04F5D"/>
    <w:rsid w:val="00B13409"/>
    <w:rsid w:val="00B21F7E"/>
    <w:rsid w:val="00B51151"/>
    <w:rsid w:val="00B51FBE"/>
    <w:rsid w:val="00B71888"/>
    <w:rsid w:val="00BA3909"/>
    <w:rsid w:val="00BB1980"/>
    <w:rsid w:val="00BC1C3B"/>
    <w:rsid w:val="00BD060F"/>
    <w:rsid w:val="00BD442E"/>
    <w:rsid w:val="00C21E4E"/>
    <w:rsid w:val="00C32640"/>
    <w:rsid w:val="00C3701E"/>
    <w:rsid w:val="00C52D0D"/>
    <w:rsid w:val="00C570AE"/>
    <w:rsid w:val="00CA6709"/>
    <w:rsid w:val="00CC3238"/>
    <w:rsid w:val="00CD3C87"/>
    <w:rsid w:val="00D244AB"/>
    <w:rsid w:val="00D2547B"/>
    <w:rsid w:val="00D3656D"/>
    <w:rsid w:val="00D41928"/>
    <w:rsid w:val="00D63C8C"/>
    <w:rsid w:val="00DB26A5"/>
    <w:rsid w:val="00DD1798"/>
    <w:rsid w:val="00DD7217"/>
    <w:rsid w:val="00E031F4"/>
    <w:rsid w:val="00E27DE6"/>
    <w:rsid w:val="00E301D8"/>
    <w:rsid w:val="00E35AFD"/>
    <w:rsid w:val="00E720B0"/>
    <w:rsid w:val="00EC2DA0"/>
    <w:rsid w:val="00F31FB7"/>
    <w:rsid w:val="00F712F5"/>
    <w:rsid w:val="00FC3DD4"/>
    <w:rsid w:val="00FE73F5"/>
    <w:rsid w:val="0F3E7A3F"/>
    <w:rsid w:val="17BFE5CE"/>
    <w:rsid w:val="19BF37D3"/>
    <w:rsid w:val="1FDBD56F"/>
    <w:rsid w:val="239E01D9"/>
    <w:rsid w:val="27FD8FF4"/>
    <w:rsid w:val="2B7B6FAE"/>
    <w:rsid w:val="373F2F03"/>
    <w:rsid w:val="3DFFF8F3"/>
    <w:rsid w:val="3FED0729"/>
    <w:rsid w:val="3FEEF213"/>
    <w:rsid w:val="3FFCF034"/>
    <w:rsid w:val="42646254"/>
    <w:rsid w:val="47F61CD3"/>
    <w:rsid w:val="47FB9C36"/>
    <w:rsid w:val="4DFEABFE"/>
    <w:rsid w:val="4F6B3C9B"/>
    <w:rsid w:val="50DCE175"/>
    <w:rsid w:val="52EAC319"/>
    <w:rsid w:val="52FA430A"/>
    <w:rsid w:val="554B63F5"/>
    <w:rsid w:val="5B504C7F"/>
    <w:rsid w:val="5BFF8055"/>
    <w:rsid w:val="5FBCF11A"/>
    <w:rsid w:val="5FDADF7F"/>
    <w:rsid w:val="64FF611F"/>
    <w:rsid w:val="65DE0CEA"/>
    <w:rsid w:val="67272073"/>
    <w:rsid w:val="677F011A"/>
    <w:rsid w:val="67BE96F3"/>
    <w:rsid w:val="6AFFC630"/>
    <w:rsid w:val="6CFD6F67"/>
    <w:rsid w:val="6EF74478"/>
    <w:rsid w:val="76FB3E39"/>
    <w:rsid w:val="778B4555"/>
    <w:rsid w:val="79BF8ED5"/>
    <w:rsid w:val="7AEC944A"/>
    <w:rsid w:val="7BDBE23E"/>
    <w:rsid w:val="7CF5B1FF"/>
    <w:rsid w:val="7DF523A6"/>
    <w:rsid w:val="7E267404"/>
    <w:rsid w:val="7E6FB1E8"/>
    <w:rsid w:val="7E9FBD1B"/>
    <w:rsid w:val="7FE565FA"/>
    <w:rsid w:val="7FFBFCFE"/>
    <w:rsid w:val="7FFFF2E4"/>
    <w:rsid w:val="8CDEF11A"/>
    <w:rsid w:val="97FF1FBE"/>
    <w:rsid w:val="9DF7C0CC"/>
    <w:rsid w:val="9FFBE189"/>
    <w:rsid w:val="AB6B46F4"/>
    <w:rsid w:val="AE7F6A77"/>
    <w:rsid w:val="BD4F8639"/>
    <w:rsid w:val="BEE2B0ED"/>
    <w:rsid w:val="DB731432"/>
    <w:rsid w:val="DBE746BD"/>
    <w:rsid w:val="DBFE8784"/>
    <w:rsid w:val="DCAF8FAD"/>
    <w:rsid w:val="DFBD12F1"/>
    <w:rsid w:val="DFD86F6E"/>
    <w:rsid w:val="EB7F67C8"/>
    <w:rsid w:val="EBEF8FDB"/>
    <w:rsid w:val="EF599534"/>
    <w:rsid w:val="EF7BA12F"/>
    <w:rsid w:val="F2FF03A0"/>
    <w:rsid w:val="F5FBEDDD"/>
    <w:rsid w:val="F6CCDAE6"/>
    <w:rsid w:val="F9DFC2B6"/>
    <w:rsid w:val="FA7D3674"/>
    <w:rsid w:val="FB2BB8F5"/>
    <w:rsid w:val="FB7F203D"/>
    <w:rsid w:val="FBB37573"/>
    <w:rsid w:val="FBE7646D"/>
    <w:rsid w:val="FD3F1188"/>
    <w:rsid w:val="FD7DFDE4"/>
    <w:rsid w:val="FDCFC3F0"/>
    <w:rsid w:val="FE7FEC30"/>
    <w:rsid w:val="FEDDF710"/>
    <w:rsid w:val="FEFF51BC"/>
    <w:rsid w:val="FFBEFE4E"/>
    <w:rsid w:val="FFBF97CB"/>
    <w:rsid w:val="FFFE97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link w:val="10"/>
    <w:qFormat/>
    <w:uiPriority w:val="9"/>
    <w:pPr>
      <w:keepNext/>
      <w:keepLines/>
      <w:spacing w:line="588" w:lineRule="exact"/>
      <w:ind w:firstLine="200" w:firstLineChars="200"/>
      <w:outlineLvl w:val="0"/>
    </w:pPr>
    <w:rPr>
      <w:rFonts w:ascii="Times New Roman" w:hAnsi="Times New Roman" w:eastAsia="方正黑体_GBK" w:cs="Times New Roman"/>
      <w:bCs/>
      <w:kern w:val="44"/>
      <w:sz w:val="30"/>
      <w:szCs w:val="44"/>
    </w:rPr>
  </w:style>
  <w:style w:type="paragraph" w:styleId="3">
    <w:name w:val="heading 2"/>
    <w:basedOn w:val="1"/>
    <w:next w:val="1"/>
    <w:link w:val="11"/>
    <w:qFormat/>
    <w:uiPriority w:val="9"/>
    <w:pPr>
      <w:keepNext/>
      <w:keepLines/>
      <w:spacing w:line="588" w:lineRule="exact"/>
      <w:ind w:firstLine="200" w:firstLineChars="200"/>
      <w:outlineLvl w:val="1"/>
    </w:pPr>
    <w:rPr>
      <w:rFonts w:ascii="Cambria" w:hAnsi="Cambria" w:eastAsia="方正楷体_GBK" w:cs="Times New Roman"/>
      <w:bCs/>
      <w:sz w:val="30"/>
      <w:szCs w:val="32"/>
    </w:rPr>
  </w:style>
  <w:style w:type="character" w:default="1" w:styleId="9">
    <w:name w:val="Default Paragraph Font"/>
    <w:unhideWhenUsed/>
    <w:qFormat/>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spacing w:line="588" w:lineRule="exact"/>
      <w:ind w:firstLine="200" w:firstLineChars="200"/>
      <w:jc w:val="left"/>
    </w:pPr>
    <w:rPr>
      <w:rFonts w:ascii="Times New Roman" w:hAnsi="Times New Roman" w:eastAsia="方正仿宋_GBK" w:cs="Times New Roman"/>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spacing w:line="588" w:lineRule="exact"/>
      <w:ind w:firstLine="200" w:firstLineChars="200"/>
      <w:jc w:val="center"/>
    </w:pPr>
    <w:rPr>
      <w:rFonts w:ascii="Times New Roman" w:hAnsi="Times New Roman" w:eastAsia="方正仿宋_GBK" w:cs="Times New Roman"/>
      <w:sz w:val="18"/>
      <w:szCs w:val="18"/>
    </w:rPr>
  </w:style>
  <w:style w:type="paragraph" w:styleId="6">
    <w:name w:val="Subtitle"/>
    <w:basedOn w:val="1"/>
    <w:next w:val="1"/>
    <w:link w:val="14"/>
    <w:qFormat/>
    <w:uiPriority w:val="11"/>
    <w:pPr>
      <w:spacing w:line="588" w:lineRule="exact"/>
      <w:jc w:val="center"/>
      <w:outlineLvl w:val="1"/>
    </w:pPr>
    <w:rPr>
      <w:rFonts w:ascii="Cambria" w:hAnsi="Cambria" w:eastAsia="方正楷体_GBK" w:cs="Times New Roman"/>
      <w:bCs/>
      <w:kern w:val="28"/>
      <w:sz w:val="30"/>
      <w:szCs w:val="32"/>
    </w:rPr>
  </w:style>
  <w:style w:type="paragraph" w:styleId="7">
    <w:name w:val="Title"/>
    <w:basedOn w:val="1"/>
    <w:next w:val="1"/>
    <w:link w:val="15"/>
    <w:qFormat/>
    <w:uiPriority w:val="10"/>
    <w:pPr>
      <w:spacing w:line="588" w:lineRule="exact"/>
      <w:jc w:val="center"/>
      <w:outlineLvl w:val="0"/>
    </w:pPr>
    <w:rPr>
      <w:rFonts w:ascii="Cambria" w:hAnsi="Cambria" w:eastAsia="方正小标宋_GBK" w:cs="Times New Roman"/>
      <w:bCs/>
      <w:sz w:val="40"/>
      <w:szCs w:val="32"/>
    </w:rPr>
  </w:style>
  <w:style w:type="character" w:customStyle="1" w:styleId="10">
    <w:name w:val="标题 1 字符"/>
    <w:link w:val="2"/>
    <w:qFormat/>
    <w:uiPriority w:val="9"/>
    <w:rPr>
      <w:rFonts w:eastAsia="方正黑体_GBK"/>
      <w:bCs/>
      <w:kern w:val="44"/>
      <w:sz w:val="30"/>
      <w:szCs w:val="44"/>
    </w:rPr>
  </w:style>
  <w:style w:type="character" w:customStyle="1" w:styleId="11">
    <w:name w:val="标题 2 字符"/>
    <w:link w:val="3"/>
    <w:semiHidden/>
    <w:qFormat/>
    <w:uiPriority w:val="9"/>
    <w:rPr>
      <w:rFonts w:ascii="Cambria" w:hAnsi="Cambria" w:eastAsia="方正楷体_GBK" w:cs="Times New Roman"/>
      <w:bCs/>
      <w:sz w:val="30"/>
      <w:szCs w:val="32"/>
    </w:rPr>
  </w:style>
  <w:style w:type="character" w:customStyle="1" w:styleId="12">
    <w:name w:val="页脚 字符"/>
    <w:link w:val="4"/>
    <w:semiHidden/>
    <w:qFormat/>
    <w:uiPriority w:val="99"/>
    <w:rPr>
      <w:sz w:val="18"/>
      <w:szCs w:val="18"/>
    </w:rPr>
  </w:style>
  <w:style w:type="character" w:customStyle="1" w:styleId="13">
    <w:name w:val="页眉 字符"/>
    <w:link w:val="5"/>
    <w:semiHidden/>
    <w:qFormat/>
    <w:uiPriority w:val="99"/>
    <w:rPr>
      <w:sz w:val="18"/>
      <w:szCs w:val="18"/>
    </w:rPr>
  </w:style>
  <w:style w:type="character" w:customStyle="1" w:styleId="14">
    <w:name w:val="副标题 字符"/>
    <w:link w:val="6"/>
    <w:qFormat/>
    <w:uiPriority w:val="11"/>
    <w:rPr>
      <w:rFonts w:ascii="Cambria" w:hAnsi="Cambria" w:eastAsia="方正楷体_GBK" w:cs="Times New Roman"/>
      <w:bCs/>
      <w:kern w:val="28"/>
      <w:sz w:val="30"/>
      <w:szCs w:val="32"/>
    </w:rPr>
  </w:style>
  <w:style w:type="character" w:customStyle="1" w:styleId="15">
    <w:name w:val="标题 字符"/>
    <w:link w:val="7"/>
    <w:qFormat/>
    <w:uiPriority w:val="10"/>
    <w:rPr>
      <w:rFonts w:ascii="Cambria" w:hAnsi="Cambria" w:eastAsia="方正小标宋_GBK" w:cs="Times New Roman"/>
      <w:bCs/>
      <w:sz w:val="40"/>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A\Desktop\&#31532;3&#39029;\&#36196;&#26494;&#36130;&#25351;&#20892;&#12304;2026&#12305;303&#21495;&#20197;&#24037;&#20195;&#36168;&#20013;&#22830;&#22522;&#24314;1295&#19975;%20&#24066;&#25351;&#26631;284&#21495;\&#36196;&#26494;&#36130;&#25351;&#20892;&#12304;2026&#12305;303&#21495;&#20197;&#24037;&#20195;&#36168;&#20013;&#22830;&#22522;&#24314;1295&#19975;%20&#24066;&#25351;&#26631;284&#21495;\&#20197;&#24037;&#20195;&#36168;2026&#24180;&#31532;&#19968;&#25209;&#20013;&#22830;&#39044;&#31639;&#20869;&#25237;&#36164;&#35745;&#21010;&#32489;&#25928;&#30446;&#26631;&#34920;.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以工代赈2026年第一批中央预算内投资计划绩效目标表.dot</Template>
  <Pages>1</Pages>
  <Words>428</Words>
  <Characters>451</Characters>
  <Lines>4</Lines>
  <Paragraphs>1</Paragraphs>
  <TotalTime>247</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2026-06-18T06:47:00Z</dcterms:created>
  <dc:creator>糖果</dc:creator>
  <cp:lastModifiedBy>糖果</cp:lastModifiedBy>
  <dcterms:modified xsi:type="dcterms:W3CDTF">2026-06-18T06:47:51Z</dcterms:modified>
  <dc:title>附件3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eyJoZGlkIjoiNWRkNGIwODk2Zjg2OTc5YjA0YTAyMWFiMGZhMGU4NzMiLCJ1c2VySWQiOiIxNjE4OTI3MzI3In0=</vt:lpwstr>
  </property>
  <property fmtid="{D5CDD505-2E9C-101B-9397-08002B2CF9AE}" pid="4" name="ICV">
    <vt:lpwstr>E6BDC4C01F834D8B80CA073251C36526_11</vt:lpwstr>
  </property>
</Properties>
</file>