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5DC3E">
      <w:pPr>
        <w:spacing w:line="360" w:lineRule="auto"/>
        <w:jc w:val="center"/>
        <w:rPr>
          <w:rFonts w:ascii="宋体" w:hAnsi="宋体"/>
          <w:sz w:val="24"/>
        </w:rPr>
      </w:pPr>
    </w:p>
    <w:p w14:paraId="781F0199">
      <w:pPr>
        <w:spacing w:line="360" w:lineRule="auto"/>
        <w:jc w:val="center"/>
        <w:rPr>
          <w:rFonts w:ascii="宋体" w:hAnsi="宋体"/>
          <w:sz w:val="24"/>
        </w:rPr>
      </w:pPr>
    </w:p>
    <w:p w14:paraId="588D4AEF">
      <w:pPr>
        <w:spacing w:line="360" w:lineRule="auto"/>
        <w:jc w:val="center"/>
        <w:rPr>
          <w:rFonts w:ascii="宋体" w:hAnsi="宋体"/>
          <w:sz w:val="24"/>
        </w:rPr>
      </w:pPr>
    </w:p>
    <w:p w14:paraId="3F809282">
      <w:pPr>
        <w:spacing w:line="360" w:lineRule="auto"/>
        <w:jc w:val="center"/>
        <w:rPr>
          <w:rFonts w:ascii="宋体" w:hAnsi="宋体"/>
          <w:sz w:val="24"/>
        </w:rPr>
      </w:pPr>
    </w:p>
    <w:p w14:paraId="42815D58">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年度赤峰市松山区卫生健康委员会(本级）</w:t>
      </w:r>
    </w:p>
    <w:p w14:paraId="77E6C3D2">
      <w:pPr>
        <w:spacing w:line="360" w:lineRule="auto"/>
        <w:jc w:val="center"/>
        <w:rPr>
          <w:rFonts w:ascii="宋体" w:hAnsi="宋体"/>
          <w:b/>
          <w:bCs/>
          <w:sz w:val="52"/>
          <w:szCs w:val="52"/>
        </w:rPr>
      </w:pPr>
      <w:r>
        <w:rPr>
          <w:rFonts w:hint="eastAsia" w:ascii="宋体" w:hAnsi="宋体"/>
          <w:b/>
          <w:bCs/>
          <w:sz w:val="52"/>
          <w:szCs w:val="52"/>
        </w:rPr>
        <w:t>公开报告</w:t>
      </w:r>
    </w:p>
    <w:p w14:paraId="6AF33ABC">
      <w:pPr>
        <w:spacing w:line="360" w:lineRule="auto"/>
        <w:jc w:val="center"/>
        <w:rPr>
          <w:rFonts w:ascii="宋体" w:hAnsi="宋体"/>
          <w:b/>
          <w:bCs/>
          <w:sz w:val="52"/>
          <w:szCs w:val="52"/>
        </w:rPr>
      </w:pPr>
    </w:p>
    <w:p w14:paraId="10212A6C">
      <w:pPr>
        <w:spacing w:line="360" w:lineRule="auto"/>
        <w:jc w:val="center"/>
        <w:rPr>
          <w:rFonts w:ascii="宋体" w:hAnsi="宋体"/>
          <w:b/>
          <w:bCs/>
          <w:sz w:val="52"/>
          <w:szCs w:val="52"/>
        </w:rPr>
      </w:pPr>
    </w:p>
    <w:p w14:paraId="636528E7">
      <w:pPr>
        <w:spacing w:line="360" w:lineRule="auto"/>
        <w:jc w:val="center"/>
        <w:rPr>
          <w:rFonts w:ascii="宋体" w:hAnsi="宋体"/>
          <w:b/>
          <w:bCs/>
          <w:sz w:val="52"/>
          <w:szCs w:val="52"/>
        </w:rPr>
      </w:pPr>
    </w:p>
    <w:p w14:paraId="3ADF248C">
      <w:pPr>
        <w:spacing w:line="360" w:lineRule="auto"/>
        <w:jc w:val="center"/>
        <w:rPr>
          <w:rFonts w:ascii="宋体" w:hAnsi="宋体"/>
          <w:b/>
          <w:bCs/>
          <w:sz w:val="52"/>
          <w:szCs w:val="52"/>
        </w:rPr>
      </w:pPr>
    </w:p>
    <w:p w14:paraId="1D89E7A7">
      <w:pPr>
        <w:spacing w:line="360" w:lineRule="auto"/>
        <w:jc w:val="center"/>
        <w:rPr>
          <w:rFonts w:ascii="宋体" w:hAnsi="宋体"/>
          <w:b/>
          <w:bCs/>
          <w:sz w:val="52"/>
          <w:szCs w:val="52"/>
        </w:rPr>
      </w:pPr>
    </w:p>
    <w:p w14:paraId="454CAC92">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14:paraId="1C9A9517">
      <w:pPr>
        <w:pStyle w:val="29"/>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14:paraId="6DD0B966">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4B024F7B">
      <w:pPr>
        <w:pStyle w:val="29"/>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部门（单位）概况</w:t>
      </w:r>
    </w:p>
    <w:p w14:paraId="5470EF46">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51815D90">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二、部门（单位）机构设置及决算单位构成情况</w:t>
      </w:r>
    </w:p>
    <w:p w14:paraId="1938260D">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年度部门（单位）主要工作完成情况</w:t>
      </w:r>
    </w:p>
    <w:p w14:paraId="51C0AB1C">
      <w:pPr>
        <w:pStyle w:val="29"/>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部门（单位）决算情况说明</w:t>
      </w:r>
    </w:p>
    <w:p w14:paraId="2535EE76">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53581528">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666393BC">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568A931C">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0B7A3117">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735F8FD0">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38D9C31A">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08DAF9B5">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3303590E">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7C4485F3">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19A0F28E">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14EF2DEB">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7E941649">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61F975D7">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2A220070">
      <w:pPr>
        <w:pStyle w:val="29"/>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6D7E21E5">
      <w:pPr>
        <w:pStyle w:val="29"/>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5EA8AD23">
      <w:pPr>
        <w:pStyle w:val="29"/>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部门（单位）决算表</w:t>
      </w:r>
    </w:p>
    <w:p w14:paraId="15D51DF0">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294278E0">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76E33D48">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035E4811">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2B23FD89">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393DE153">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0C3472A8">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2EBCEADD">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2D93CC45">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21B8661A">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78767D81">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0B42E9F2">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9C7EC00">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301353F">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AE3A1A7">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E49043D">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8BCA4C0">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2F97B3F">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C353F74">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50FCA98">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1E5E943">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A666156">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11457F1">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FF8BEE1">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AC9E190">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BC228B0">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B6D7C64">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564D748">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97626C1">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部门（单位）概况</w:t>
      </w:r>
    </w:p>
    <w:p w14:paraId="6349C028">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14:paraId="1BE914FD">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AFF"/>
          <w:kern w:val="0"/>
          <w:sz w:val="32"/>
          <w:szCs w:val="32"/>
        </w:rPr>
        <w:t> </w:t>
      </w:r>
      <w:r>
        <w:rPr>
          <w:rFonts w:hint="eastAsia" w:ascii="FangSong_GB2312" w:hAnsi="FangSong_GB2312" w:eastAsia="FangSong_GB2312" w:cs="FangSong_GB2312"/>
          <w:color w:val="000000" w:themeColor="text1"/>
          <w:kern w:val="0"/>
          <w:sz w:val="32"/>
          <w:szCs w:val="32"/>
        </w:rPr>
        <w:t>（一）部门职能 赤峰市松山区卫生健康委员会是赤峰市松山区人民政府主管卫生 健康工作的综合经济部门。</w:t>
      </w:r>
    </w:p>
    <w:p w14:paraId="478DD50E">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（二）部门主要职责</w:t>
      </w:r>
    </w:p>
    <w:p w14:paraId="652AF79A">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 xml:space="preserve"> 1、贯彻落实国家、自治区关于卫生健康的法律法规和有关 政策、 规划；研究拟订赤峰市松山区地方性法规规章草案；参与拟订卫生健 康行业发展战略和规划，指导卫生健康行业体制改革工作。</w:t>
      </w:r>
    </w:p>
    <w:p w14:paraId="40DF33CA">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 xml:space="preserve"> 2、负责卫生健康市场监督管理责任；组织拟订全区卫生健康有关政策、准入制度、技术标准等措施办法并监督实施；指导区域卫生健康规划的编制及有关设施规划和管理工作；承担卫生 健康行业管理工作。</w:t>
      </w:r>
    </w:p>
    <w:p w14:paraId="5C4DD866">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 xml:space="preserve"> 3、协调推进深化医药卫生体制改革，研究提出有关政策、 措施的建议，组织深化公立医院综合改革，推进管办分离，健全现代医院 管理制度，制定并组织实施推动卫生健康公共服务提供主体多元化、 提供方式多样化的政策措施，提出医疗服务和药品价格政策的建议。 </w:t>
      </w:r>
    </w:p>
    <w:p w14:paraId="13571887">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4、制定并组织落实疾病预防控制规划以及严重危害人民健康公共卫生问题的干预措施，实施国家免疫规划。负责卫生应急工作，组织指导突发公共卫生事件的预防控制和各类突发公共事件的医疗卫生救援。</w:t>
      </w:r>
    </w:p>
    <w:p w14:paraId="03C0495B">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 xml:space="preserve"> 5.组织拟订并协调落实应对人口老龄化政策措施，负责推进全区老年服务体系建设和医养结合工作，负责老年健康工作。</w:t>
      </w:r>
    </w:p>
    <w:p w14:paraId="2A1DBA77">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 xml:space="preserve"> 6.组织实施国家药物政策和基本药物制度。组织开展食品安全风 险监测评估。 </w:t>
      </w:r>
    </w:p>
    <w:p w14:paraId="14D70E4F">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7.负责职责范围内的职业卫生、放射卫生、环境卫生、学校卫生、 公共场所卫生、饮用水卫生等公共卫生的监督管理，负责传染病防治监督，健全卫生健康综合监督体系。牵头《烟草控制框架公约》履约工作。</w:t>
      </w:r>
    </w:p>
    <w:p w14:paraId="2A58C9FE">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 xml:space="preserve"> 8.制定医疗机构、医疗服务行业管理办法并监督实施，建立医疗服务评价和监督管理体系。会同有关部门制定并实施卫生健康专业技术人员资格标准。制定并组织实施医疗服务规范、标准和卫生健康专业技术人员执业规则、服务规范。 </w:t>
      </w:r>
    </w:p>
    <w:p w14:paraId="1ED533E7">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 xml:space="preserve">9.负责计划生育管理和服务工作，开展人口监测预警，研究提出人口与家庭发展相关政策建议，完善地方计划生育政策。 </w:t>
      </w:r>
    </w:p>
    <w:p w14:paraId="47C3C876">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 xml:space="preserve">10.指导基层医疗卫生、妇幼健康服务体系和全科医生队伍建设， 推进卫生健康科技创新发展。 </w:t>
      </w:r>
    </w:p>
    <w:p w14:paraId="0F4756C6">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11.保障和促进蒙医药中医药医疗、保健、教育、科研、文化及相关产业的改革发展与对外交流合作，推进蒙医药中医药传承创新和振兴发展。</w:t>
      </w:r>
    </w:p>
    <w:p w14:paraId="7BD0ACE6">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12.完成区委、政府交办的其他任务。</w:t>
      </w:r>
    </w:p>
    <w:p w14:paraId="06C4B295">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二、部门（单位）机构设置及决算单位构成情况</w:t>
      </w:r>
    </w:p>
    <w:p w14:paraId="4436B438">
      <w:pPr>
        <w:pStyle w:val="29"/>
        <w:keepNext w:val="0"/>
        <w:keepLines w:val="0"/>
        <w:pageBreakBefore w:val="0"/>
        <w:widowControl/>
        <w:kinsoku/>
        <w:wordWrap/>
        <w:overflowPunct/>
        <w:topLinePunct w:val="0"/>
        <w:autoSpaceDE/>
        <w:autoSpaceDN/>
        <w:bidi w:val="0"/>
        <w:adjustRightInd/>
        <w:snapToGrid/>
        <w:spacing w:before="240" w:after="240" w:line="600" w:lineRule="atLeast"/>
        <w:ind w:firstLine="640" w:firstLineChars="200"/>
        <w:jc w:val="left"/>
        <w:textAlignment w:val="auto"/>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 1.根据部门（单位）职责分工，本部门（单位） 内设机构根据部门职责分工，本部门包括 11 个内设机构，分别为：办公室、人事财务股、疾病预防控制股、基层层卫生健康股、医政股、蒙中医药股、妇幼健康股、人口监测与家庭发展股、宣传科教股、法规监督股、机关党组织。</w:t>
      </w:r>
    </w:p>
    <w:p w14:paraId="2548F371">
      <w:pPr>
        <w:pStyle w:val="29"/>
        <w:widowControl/>
        <w:spacing w:before="240" w:after="240" w:line="600" w:lineRule="atLeast"/>
        <w:ind w:firstLine="643"/>
        <w:jc w:val="left"/>
        <w:rPr>
          <w:rFonts w:hint="eastAsia" w:ascii="FangSong_GB2312" w:hAnsi="FangSong_GB2312" w:eastAsia="FangSong_GB2312" w:cs="FangSong_GB2312"/>
          <w:color w:val="000000" w:themeColor="text1"/>
          <w:kern w:val="0"/>
          <w:sz w:val="32"/>
          <w:szCs w:val="32"/>
        </w:rPr>
      </w:pPr>
      <w:r>
        <w:rPr>
          <w:rFonts w:hint="eastAsia" w:ascii="FangSong_GB2312" w:hAnsi="FangSong_GB2312" w:eastAsia="FangSong_GB2312" w:cs="FangSong_GB2312"/>
          <w:color w:val="000000" w:themeColor="text1"/>
          <w:kern w:val="0"/>
          <w:sz w:val="32"/>
          <w:szCs w:val="32"/>
        </w:rPr>
        <w:t>2.从决算单位构成看，纳入本财政汇总决算编制范围的预算单位共计</w:t>
      </w:r>
      <w:r>
        <w:rPr>
          <w:rFonts w:hint="eastAsia" w:ascii="FangSong_GB2312" w:hAnsi="FangSong_GB2312" w:eastAsia="FangSong_GB2312" w:cs="FangSong_GB2312"/>
          <w:color w:val="000000" w:themeColor="text1"/>
          <w:kern w:val="0"/>
          <w:sz w:val="32"/>
          <w:szCs w:val="32"/>
          <w:lang w:val="en-US" w:eastAsia="zh-CN"/>
        </w:rPr>
        <w:t>1</w:t>
      </w:r>
      <w:r>
        <w:rPr>
          <w:rFonts w:hint="eastAsia" w:ascii="FangSong_GB2312" w:hAnsi="FangSong_GB2312" w:eastAsia="FangSong_GB2312" w:cs="FangSong_GB2312"/>
          <w:color w:val="000000" w:themeColor="text1"/>
          <w:kern w:val="0"/>
          <w:sz w:val="32"/>
          <w:szCs w:val="32"/>
        </w:rPr>
        <w:t xml:space="preserve"> 家，具体包括：财政拨款的行政单位 1 家，参照公务员法管理的事业单位为 0 家，公益一类事业单位为 </w:t>
      </w:r>
      <w:r>
        <w:rPr>
          <w:rFonts w:hint="eastAsia" w:ascii="FangSong_GB2312" w:hAnsi="FangSong_GB2312" w:eastAsia="FangSong_GB2312" w:cs="FangSong_GB2312"/>
          <w:color w:val="000000" w:themeColor="text1"/>
          <w:kern w:val="0"/>
          <w:sz w:val="32"/>
          <w:szCs w:val="32"/>
          <w:lang w:val="en-US" w:eastAsia="zh-CN"/>
        </w:rPr>
        <w:t>0</w:t>
      </w:r>
      <w:r>
        <w:rPr>
          <w:rFonts w:hint="eastAsia" w:ascii="FangSong_GB2312" w:hAnsi="FangSong_GB2312" w:eastAsia="FangSong_GB2312" w:cs="FangSong_GB2312"/>
          <w:color w:val="000000" w:themeColor="text1"/>
          <w:kern w:val="0"/>
          <w:sz w:val="32"/>
          <w:szCs w:val="32"/>
        </w:rPr>
        <w:t xml:space="preserve"> 家，公益二类事业单位</w:t>
      </w:r>
      <w:r>
        <w:rPr>
          <w:rFonts w:hint="eastAsia" w:ascii="FangSong_GB2312" w:hAnsi="FangSong_GB2312" w:eastAsia="FangSong_GB2312" w:cs="FangSong_GB2312"/>
          <w:color w:val="000000" w:themeColor="text1"/>
          <w:kern w:val="0"/>
          <w:sz w:val="32"/>
          <w:szCs w:val="32"/>
          <w:lang w:val="en-US" w:eastAsia="zh-CN"/>
        </w:rPr>
        <w:t>0</w:t>
      </w:r>
      <w:r>
        <w:rPr>
          <w:rFonts w:hint="eastAsia" w:ascii="FangSong_GB2312" w:hAnsi="FangSong_GB2312" w:eastAsia="FangSong_GB2312" w:cs="FangSong_GB2312"/>
          <w:color w:val="000000" w:themeColor="text1"/>
          <w:kern w:val="0"/>
          <w:sz w:val="32"/>
          <w:szCs w:val="32"/>
        </w:rPr>
        <w:t xml:space="preserve"> 家。</w:t>
      </w:r>
    </w:p>
    <w:tbl>
      <w:tblPr>
        <w:tblStyle w:val="30"/>
        <w:tblW w:w="6884" w:type="dxa"/>
        <w:tblInd w:w="1417"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0" w:type="dxa"/>
          <w:bottom w:w="0" w:type="dxa"/>
          <w:right w:w="0" w:type="dxa"/>
        </w:tblCellMar>
      </w:tblPr>
      <w:tblGrid>
        <w:gridCol w:w="572"/>
        <w:gridCol w:w="3168"/>
        <w:gridCol w:w="3144"/>
      </w:tblGrid>
      <w:tr w14:paraId="7D78B499">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0" w:type="dxa"/>
            <w:bottom w:w="0" w:type="dxa"/>
            <w:right w:w="0" w:type="dxa"/>
          </w:tblCellMar>
        </w:tblPrEx>
        <w:trPr>
          <w:trHeight w:val="516" w:hRule="atLeast"/>
        </w:trPr>
        <w:tc>
          <w:tcPr>
            <w:tcW w:w="572" w:type="dxa"/>
            <w:vAlign w:val="top"/>
          </w:tcPr>
          <w:p w14:paraId="706BEF19">
            <w:pPr>
              <w:spacing w:before="137" w:line="221" w:lineRule="auto"/>
              <w:ind w:left="48"/>
              <w:rPr>
                <w:rFonts w:ascii="宋体" w:hAnsi="宋体" w:eastAsia="宋体" w:cs="宋体"/>
                <w:sz w:val="24"/>
                <w:szCs w:val="24"/>
              </w:rPr>
            </w:pPr>
            <w:r>
              <w:rPr>
                <w:rFonts w:ascii="宋体" w:hAnsi="宋体" w:eastAsia="宋体" w:cs="宋体"/>
                <w:spacing w:val="-5"/>
                <w:sz w:val="24"/>
                <w:szCs w:val="24"/>
              </w:rPr>
              <w:t>序号</w:t>
            </w:r>
          </w:p>
        </w:tc>
        <w:tc>
          <w:tcPr>
            <w:tcW w:w="3168" w:type="dxa"/>
            <w:vAlign w:val="top"/>
          </w:tcPr>
          <w:p w14:paraId="16DA2A0C">
            <w:pPr>
              <w:spacing w:before="137" w:line="220" w:lineRule="auto"/>
              <w:ind w:left="1109"/>
              <w:rPr>
                <w:rFonts w:ascii="宋体" w:hAnsi="宋体" w:eastAsia="宋体" w:cs="宋体"/>
                <w:sz w:val="24"/>
                <w:szCs w:val="24"/>
              </w:rPr>
            </w:pPr>
            <w:r>
              <w:rPr>
                <w:rFonts w:ascii="宋体" w:hAnsi="宋体" w:eastAsia="宋体" w:cs="宋体"/>
                <w:spacing w:val="-3"/>
                <w:sz w:val="24"/>
                <w:szCs w:val="24"/>
              </w:rPr>
              <w:t>单位名称</w:t>
            </w:r>
          </w:p>
        </w:tc>
        <w:tc>
          <w:tcPr>
            <w:tcW w:w="3144" w:type="dxa"/>
            <w:vAlign w:val="top"/>
          </w:tcPr>
          <w:p w14:paraId="705C0349">
            <w:pPr>
              <w:spacing w:before="137" w:line="220" w:lineRule="auto"/>
              <w:ind w:left="1097"/>
              <w:rPr>
                <w:rFonts w:ascii="宋体" w:hAnsi="宋体" w:eastAsia="宋体" w:cs="宋体"/>
                <w:sz w:val="24"/>
                <w:szCs w:val="24"/>
              </w:rPr>
            </w:pPr>
            <w:r>
              <w:rPr>
                <w:rFonts w:ascii="宋体" w:hAnsi="宋体" w:eastAsia="宋体" w:cs="宋体"/>
                <w:spacing w:val="-3"/>
                <w:sz w:val="24"/>
                <w:szCs w:val="24"/>
              </w:rPr>
              <w:t>单位性质</w:t>
            </w:r>
          </w:p>
        </w:tc>
      </w:tr>
      <w:tr w14:paraId="5E2FAFC7">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0" w:type="dxa"/>
            <w:bottom w:w="0" w:type="dxa"/>
            <w:right w:w="0" w:type="dxa"/>
          </w:tblCellMar>
        </w:tblPrEx>
        <w:trPr>
          <w:trHeight w:val="1295" w:hRule="atLeast"/>
        </w:trPr>
        <w:tc>
          <w:tcPr>
            <w:tcW w:w="572" w:type="dxa"/>
            <w:vAlign w:val="top"/>
          </w:tcPr>
          <w:p w14:paraId="18F3AB15">
            <w:pPr>
              <w:spacing w:line="383" w:lineRule="auto"/>
              <w:rPr>
                <w:rFonts w:ascii="Arial"/>
                <w:sz w:val="21"/>
              </w:rPr>
            </w:pPr>
          </w:p>
          <w:p w14:paraId="0CD9E5C2">
            <w:pPr>
              <w:pStyle w:val="31"/>
              <w:spacing w:before="101" w:line="417" w:lineRule="exact"/>
              <w:ind w:left="235"/>
            </w:pPr>
            <w:r>
              <w:rPr>
                <w:position w:val="2"/>
              </w:rPr>
              <w:t>1</w:t>
            </w:r>
          </w:p>
        </w:tc>
        <w:tc>
          <w:tcPr>
            <w:tcW w:w="3168" w:type="dxa"/>
            <w:vAlign w:val="top"/>
          </w:tcPr>
          <w:p w14:paraId="4A785DE4">
            <w:pPr>
              <w:pStyle w:val="31"/>
              <w:spacing w:before="173" w:line="331" w:lineRule="auto"/>
              <w:ind w:left="34" w:right="265" w:firstLine="14"/>
            </w:pPr>
            <w:r>
              <w:rPr>
                <w:spacing w:val="5"/>
              </w:rPr>
              <w:t>赤峰市松山区卫生健</w:t>
            </w:r>
            <w:r>
              <w:rPr>
                <w:spacing w:val="7"/>
              </w:rPr>
              <w:t xml:space="preserve"> </w:t>
            </w:r>
            <w:r>
              <w:rPr>
                <w:spacing w:val="6"/>
              </w:rPr>
              <w:t>康委员会本级</w:t>
            </w:r>
          </w:p>
        </w:tc>
        <w:tc>
          <w:tcPr>
            <w:tcW w:w="3144" w:type="dxa"/>
            <w:vAlign w:val="top"/>
          </w:tcPr>
          <w:p w14:paraId="0D75C4A1">
            <w:pPr>
              <w:spacing w:line="384" w:lineRule="auto"/>
              <w:rPr>
                <w:rFonts w:ascii="Arial"/>
                <w:sz w:val="21"/>
              </w:rPr>
            </w:pPr>
          </w:p>
          <w:p w14:paraId="35B7EB41">
            <w:pPr>
              <w:pStyle w:val="31"/>
              <w:spacing w:before="101" w:line="226" w:lineRule="auto"/>
              <w:ind w:left="150"/>
            </w:pPr>
            <w:r>
              <w:rPr>
                <w:spacing w:val="7"/>
              </w:rPr>
              <w:t>财政拨款的行政单位</w:t>
            </w:r>
          </w:p>
        </w:tc>
      </w:tr>
    </w:tbl>
    <w:p w14:paraId="552FC060">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年度部门（单位）主要工作完成情况</w:t>
      </w:r>
    </w:p>
    <w:p w14:paraId="0FF6A1FC">
      <w:pPr>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kern w:val="2"/>
          <w:sz w:val="32"/>
          <w:szCs w:val="32"/>
          <w:lang w:val="en-US" w:eastAsia="zh-CN" w:bidi="ar-SA"/>
        </w:rPr>
        <w:t>（一）持续推进紧密型城市医疗集团建设</w:t>
      </w:r>
    </w:p>
    <w:p w14:paraId="567A9195">
      <w:pPr>
        <w:pageBreakBefore w:val="0"/>
        <w:widowControl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加快推进紧密型城市医疗集团建设，</w:t>
      </w:r>
      <w:r>
        <w:rPr>
          <w:rFonts w:hint="eastAsia" w:ascii="仿宋_GB2312" w:hAnsi="仿宋_GB2312" w:eastAsia="仿宋_GB2312" w:cs="仿宋_GB2312"/>
          <w:sz w:val="32"/>
          <w:szCs w:val="32"/>
          <w:lang w:val="en-US" w:eastAsia="zh-CN"/>
        </w:rPr>
        <w:t>制定完善相关配套政策，在人事管理、绩效分配、医保支付等方面取得实质性突破。前期建成的信息化系统要提高利用率，</w:t>
      </w:r>
      <w:r>
        <w:rPr>
          <w:rFonts w:hint="eastAsia" w:ascii="仿宋_GB2312" w:hAnsi="仿宋_GB2312" w:eastAsia="仿宋_GB2312"/>
          <w:color w:val="000000"/>
          <w:sz w:val="32"/>
          <w:szCs w:val="32"/>
          <w:lang w:val="en-US" w:eastAsia="zh-CN"/>
        </w:rPr>
        <w:t>进一步推动优质医疗资源向基层延伸</w:t>
      </w:r>
      <w:r>
        <w:rPr>
          <w:rFonts w:hint="eastAsia" w:ascii="仿宋_GB2312" w:hAnsi="仿宋_GB2312" w:eastAsia="仿宋_GB2312" w:cs="仿宋_GB2312"/>
          <w:sz w:val="32"/>
          <w:szCs w:val="32"/>
          <w:lang w:val="en-US" w:eastAsia="zh-CN"/>
        </w:rPr>
        <w:t>。推进医疗集团信息化建设。</w:t>
      </w:r>
    </w:p>
    <w:p w14:paraId="365DBA4E">
      <w:pPr>
        <w:pageBreakBefore w:val="0"/>
        <w:widowControl w:val="0"/>
        <w:kinsoku/>
        <w:wordWrap/>
        <w:overflowPunct/>
        <w:topLinePunct w:val="0"/>
        <w:autoSpaceDE/>
        <w:autoSpaceDN/>
        <w:bidi w:val="0"/>
        <w:spacing w:line="60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color w:val="000000"/>
          <w:kern w:val="2"/>
          <w:sz w:val="32"/>
          <w:szCs w:val="32"/>
          <w:lang w:val="en-US" w:eastAsia="zh-CN" w:bidi="ar-SA"/>
        </w:rPr>
        <w:t>（二）健全</w:t>
      </w:r>
      <w:r>
        <w:rPr>
          <w:rFonts w:hint="eastAsia" w:ascii="楷体" w:hAnsi="楷体" w:eastAsia="楷体" w:cs="楷体"/>
          <w:sz w:val="32"/>
          <w:szCs w:val="32"/>
          <w:lang w:val="en-US" w:eastAsia="zh-CN"/>
        </w:rPr>
        <w:t>完善疾病预防控制体系</w:t>
      </w:r>
    </w:p>
    <w:p w14:paraId="166D012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68" w:firstLineChars="200"/>
        <w:textAlignment w:val="auto"/>
        <w:rPr>
          <w:rFonts w:hint="default"/>
          <w:lang w:val="en-US" w:eastAsia="zh-CN"/>
        </w:rPr>
      </w:pPr>
      <w:r>
        <w:rPr>
          <w:rStyle w:val="20"/>
          <w:rFonts w:hint="eastAsia" w:ascii="仿宋_GB2312" w:hAnsi="Times New Roman" w:eastAsia="仿宋_GB2312"/>
          <w:b w:val="0"/>
          <w:bCs w:val="0"/>
          <w:color w:val="000000"/>
          <w:spacing w:val="7"/>
          <w:sz w:val="32"/>
          <w:szCs w:val="32"/>
          <w:shd w:val="clear" w:color="auto" w:fill="FFFFFF"/>
          <w:lang w:val="en-US" w:eastAsia="zh-CN"/>
        </w:rPr>
        <w:t>做好区疾控中心重新组建工作，稳妥有序推进疾控中心和卫生健康行政执法大队整合。疾控中心要管理好监督执法这支队伍、落实好行业监督管理责任，加大卫生健康监督执法力度，坚决防止职能弱化、责任缺位。强化医疗机构疾控职能，落实《医疗机构传染病防控责任清单》。市里对鼠疫、艾滋病、结核病、病毒性肝炎、布病等重大传染病、地方病监测、疫苗接种等各项任务量化了指标，各单位要按计划开展，按要求完成。开展食品安全风险监测，提升食源性疾病监测报告准确率。推进卫生应急规范化建设，完善公共卫生事件应急预案体系，充实医疗应急队伍。</w:t>
      </w:r>
    </w:p>
    <w:p w14:paraId="52E149E3">
      <w:pPr>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color w:val="000000"/>
          <w:kern w:val="2"/>
          <w:sz w:val="32"/>
          <w:szCs w:val="32"/>
          <w:lang w:val="en-US" w:eastAsia="zh-CN" w:bidi="ar-SA"/>
        </w:rPr>
        <w:t>（三）</w:t>
      </w:r>
      <w:r>
        <w:rPr>
          <w:rFonts w:hint="eastAsia" w:ascii="楷体" w:hAnsi="楷体" w:eastAsia="楷体" w:cs="楷体"/>
          <w:sz w:val="32"/>
          <w:szCs w:val="32"/>
          <w:lang w:val="en-US" w:eastAsia="zh-CN"/>
        </w:rPr>
        <w:t>全方位推进健康松山建设</w:t>
      </w:r>
    </w:p>
    <w:p w14:paraId="7DB9B377">
      <w:pPr>
        <w:pageBreakBefore w:val="0"/>
        <w:widowControl w:val="0"/>
        <w:numPr>
          <w:ilvl w:val="0"/>
          <w:numId w:val="0"/>
        </w:numPr>
        <w:kinsoku/>
        <w:wordWrap/>
        <w:overflowPunct/>
        <w:topLinePunct w:val="0"/>
        <w:autoSpaceDE/>
        <w:autoSpaceDN/>
        <w:bidi w:val="0"/>
        <w:spacing w:line="600" w:lineRule="exact"/>
        <w:ind w:firstLine="668" w:firstLineChars="200"/>
        <w:textAlignment w:val="auto"/>
        <w:rPr>
          <w:rFonts w:hint="eastAsia"/>
          <w:lang w:val="en-US" w:eastAsia="zh-CN"/>
        </w:rPr>
      </w:pPr>
      <w:r>
        <w:rPr>
          <w:rStyle w:val="20"/>
          <w:rFonts w:hint="eastAsia" w:ascii="仿宋_GB2312" w:hAnsi="Times New Roman" w:eastAsia="仿宋_GB2312" w:cs="Times New Roman"/>
          <w:b w:val="0"/>
          <w:bCs w:val="0"/>
          <w:color w:val="000000"/>
          <w:spacing w:val="7"/>
          <w:sz w:val="32"/>
          <w:szCs w:val="32"/>
          <w:shd w:val="clear" w:color="auto" w:fill="FFFFFF"/>
          <w:lang w:val="en-US" w:eastAsia="zh-CN"/>
        </w:rPr>
        <w:t>加强日常监测和考核评价，确保完成2025年度健康行动监测评估和考核工作。深入开展健康教育与促进行动，加大健康知识普及力度，居民健康素养水平要达到35%以上。巩固健康县区建设，全力以赴做好国家卫生城市复审迎检准备。深入开展“爱国卫生月”“爱国卫生宣传周”“世界无烟日”活动，着力改善城乡环境卫生，不断加强病媒生物防制。巩固控烟工作成果，建立健康影响评价评估制度，至少完成1个评估案例。实施国民营养计划，推进合理膳食行动，开设餐厅(食堂)的二级以上公立医院完成营养健康餐厅(食堂)示范创建。扎实推进家庭健康促进行动，完成基层家庭健康指导员培训任务。</w:t>
      </w:r>
    </w:p>
    <w:p w14:paraId="53CB02CE">
      <w:pPr>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楷体" w:hAnsi="楷体" w:eastAsia="楷体" w:cs="楷体"/>
          <w:sz w:val="32"/>
          <w:szCs w:val="36"/>
          <w:lang w:val="en-US" w:eastAsia="zh-CN"/>
        </w:rPr>
      </w:pPr>
      <w:r>
        <w:rPr>
          <w:rFonts w:hint="eastAsia" w:ascii="楷体" w:hAnsi="楷体" w:eastAsia="楷体" w:cs="楷体"/>
          <w:kern w:val="2"/>
          <w:sz w:val="32"/>
          <w:szCs w:val="36"/>
          <w:lang w:val="en-US" w:eastAsia="zh-CN" w:bidi="ar-SA"/>
        </w:rPr>
        <w:t>（四）</w:t>
      </w:r>
      <w:r>
        <w:rPr>
          <w:rFonts w:hint="eastAsia" w:ascii="楷体_GB2312" w:eastAsia="楷体_GB2312"/>
          <w:color w:val="000000"/>
          <w:sz w:val="32"/>
          <w:szCs w:val="32"/>
          <w:lang w:eastAsia="zh-CN"/>
        </w:rPr>
        <w:t>持续</w:t>
      </w:r>
      <w:r>
        <w:rPr>
          <w:rFonts w:hint="eastAsia" w:ascii="楷体" w:hAnsi="楷体" w:eastAsia="楷体" w:cs="楷体"/>
          <w:sz w:val="32"/>
          <w:szCs w:val="36"/>
          <w:lang w:val="en-US" w:eastAsia="zh-CN"/>
        </w:rPr>
        <w:t>强化基层医疗卫生服务能力</w:t>
      </w:r>
    </w:p>
    <w:p w14:paraId="6F75165F">
      <w:pPr>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依托松山区质控中心抓好医疗质量提高，做好医疗服务改进，优化医疗服务供给、适当延长门诊服务时间、持续改善就医环境与流程、增强群众就医体验、实施优质护理服务，落实全面提升医疗质量行动、改善就医感受提升患者体验主题活动等专项工作。对“十四五”确定的临床重点专科建设项目进行评估。严格技术操作规范，加强设备耗材质量安全管理，让人民群众实现便捷就医、安全就医。加强医疗机构管理，保障依法执业。强化麻精药品管理，完成急救网络医院建设。</w:t>
      </w:r>
      <w:r>
        <w:rPr>
          <w:rFonts w:hint="eastAsia" w:ascii="仿宋_GB2312" w:hAnsi="仿宋_GB2312" w:eastAsia="仿宋_GB2312" w:cs="仿宋_GB2312"/>
          <w:sz w:val="32"/>
          <w:szCs w:val="32"/>
          <w:lang w:eastAsia="zh-CN"/>
        </w:rPr>
        <w:t>按照市里要求，年度内完成</w:t>
      </w:r>
      <w:r>
        <w:rPr>
          <w:rFonts w:hint="eastAsia" w:ascii="仿宋_GB2312" w:hAnsi="仿宋_GB2312" w:eastAsia="仿宋_GB2312" w:cs="仿宋_GB2312"/>
          <w:sz w:val="32"/>
          <w:szCs w:val="32"/>
          <w:lang w:val="en-US" w:eastAsia="zh-CN"/>
        </w:rPr>
        <w:t>2家以上</w:t>
      </w:r>
      <w:r>
        <w:rPr>
          <w:rFonts w:hint="eastAsia" w:ascii="仿宋_GB2312" w:hAnsi="仿宋_GB2312" w:eastAsia="仿宋_GB2312" w:cs="仿宋_GB2312"/>
          <w:sz w:val="32"/>
          <w:szCs w:val="32"/>
          <w:lang w:eastAsia="zh-CN"/>
        </w:rPr>
        <w:t>社区医院申报。</w:t>
      </w:r>
    </w:p>
    <w:p w14:paraId="2C976E8E">
      <w:pPr>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lang w:val="en-US" w:eastAsia="zh-CN"/>
        </w:rPr>
      </w:pPr>
      <w:r>
        <w:rPr>
          <w:rFonts w:hint="eastAsia" w:ascii="楷体" w:hAnsi="楷体" w:eastAsia="楷体" w:cs="楷体"/>
          <w:kern w:val="2"/>
          <w:sz w:val="32"/>
          <w:szCs w:val="36"/>
          <w:lang w:val="en-US" w:eastAsia="zh-CN" w:bidi="ar-SA"/>
        </w:rPr>
        <w:t>（五）</w:t>
      </w:r>
      <w:r>
        <w:rPr>
          <w:rFonts w:hint="eastAsia" w:ascii="楷体" w:hAnsi="楷体" w:eastAsia="楷体" w:cs="楷体"/>
          <w:sz w:val="32"/>
          <w:szCs w:val="36"/>
          <w:lang w:val="en-US" w:eastAsia="zh-CN"/>
        </w:rPr>
        <w:t>推进中（蒙）医药传承创新发展</w:t>
      </w:r>
    </w:p>
    <w:p w14:paraId="1315187F">
      <w:pPr>
        <w:pageBreakBefore w:val="0"/>
        <w:widowControl w:val="0"/>
        <w:numPr>
          <w:ilvl w:val="0"/>
          <w:numId w:val="0"/>
        </w:numPr>
        <w:kinsoku/>
        <w:wordWrap/>
        <w:overflowPunct/>
        <w:topLinePunct w:val="0"/>
        <w:autoSpaceDE/>
        <w:autoSpaceDN/>
        <w:bidi w:val="0"/>
        <w:spacing w:line="600" w:lineRule="exact"/>
        <w:ind w:firstLine="668" w:firstLineChars="200"/>
        <w:textAlignment w:val="auto"/>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pPr>
      <w:r>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t>对照高质量发展手册全面开展自评，提升中（蒙）医药服务能力。年底前，95%的社区卫生服务中心和乡镇卫生院的中医馆（蒙医馆）达到优质型，其中15%达到示范型。持续推进“两专科一中心”建设，积极创建国家和自治区中（蒙）医优势专科。松山中蒙医院电子病历应用水平要达到3级，加强智慧医院建设，智慧服务级别达到2级，智慧管理级别达到1级。3月底前将松山中蒙医院纳入全市急诊急救调度指挥系统。发挥中医（蒙医）康复特色优势，开展康复技术培训和人才培训。松山医院要认真落实中医药工作指南要求，进一步优化组织管理、内涵建设、学科发展，按要求完善中（蒙）医科设置。</w:t>
      </w:r>
    </w:p>
    <w:p w14:paraId="7A31BF74">
      <w:pPr>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仿宋_GB2312" w:hAnsi="方正仿宋_GBK" w:eastAsia="仿宋_GB2312" w:cs="Times New Roman"/>
          <w:b w:val="0"/>
          <w:bCs w:val="0"/>
          <w:color w:val="000000"/>
          <w:sz w:val="32"/>
          <w:szCs w:val="32"/>
          <w:lang w:val="en-US" w:eastAsia="zh-CN"/>
        </w:rPr>
      </w:pPr>
      <w:r>
        <w:rPr>
          <w:rFonts w:hint="eastAsia" w:ascii="楷体" w:hAnsi="楷体" w:eastAsia="楷体" w:cs="楷体"/>
          <w:kern w:val="2"/>
          <w:sz w:val="32"/>
          <w:szCs w:val="22"/>
          <w:lang w:val="en-US" w:eastAsia="zh-CN" w:bidi="ar-SA"/>
        </w:rPr>
        <w:t>（六）扎实做好基本公共卫生服务工作</w:t>
      </w:r>
    </w:p>
    <w:p w14:paraId="6733CCB4">
      <w:pPr>
        <w:pageBreakBefore w:val="0"/>
        <w:widowControl w:val="0"/>
        <w:numPr>
          <w:ilvl w:val="0"/>
          <w:numId w:val="0"/>
        </w:numPr>
        <w:kinsoku/>
        <w:wordWrap/>
        <w:overflowPunct/>
        <w:topLinePunct w:val="0"/>
        <w:autoSpaceDE/>
        <w:autoSpaceDN/>
        <w:bidi w:val="0"/>
        <w:spacing w:line="600" w:lineRule="exact"/>
        <w:ind w:firstLine="671" w:firstLineChars="200"/>
        <w:textAlignment w:val="auto"/>
        <w:rPr>
          <w:rFonts w:hint="eastAsia" w:ascii="仿宋_GB2312" w:hAnsi="方正仿宋_GBK" w:eastAsia="仿宋_GB2312" w:cs="Times New Roman"/>
          <w:b w:val="0"/>
          <w:bCs w:val="0"/>
          <w:color w:val="000000"/>
          <w:sz w:val="32"/>
          <w:szCs w:val="32"/>
          <w:lang w:val="en-US" w:eastAsia="zh-CN"/>
        </w:rPr>
      </w:pPr>
      <w:r>
        <w:rPr>
          <w:rStyle w:val="20"/>
          <w:rFonts w:hint="eastAsia" w:ascii="仿宋_GB2312" w:hAnsi="Times New Roman" w:eastAsia="仿宋_GB2312" w:cs="Times New Roman"/>
          <w:b/>
          <w:bCs/>
          <w:color w:val="000000"/>
          <w:spacing w:val="7"/>
          <w:kern w:val="2"/>
          <w:sz w:val="32"/>
          <w:szCs w:val="32"/>
          <w:shd w:val="clear" w:color="auto" w:fill="FFFFFF"/>
          <w:lang w:val="en-US" w:eastAsia="zh-CN" w:bidi="ar-SA"/>
        </w:rPr>
        <w:t>一是</w:t>
      </w:r>
      <w:r>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t>继续利用“松山微家医”小程序做好档案核查整理和慢病随访工作。居民规范化电子健康档案覆盖率达到90%以上；65岁及以上老年人健康管理率达到70%以上；原发性高血压、Ⅱ型糖尿病患者规范管理率达到70%以上；严重精神障碍患者规范管理率达到90%以上。持续做好信息化管理平台与新系统对接工作。</w:t>
      </w:r>
      <w:r>
        <w:rPr>
          <w:rStyle w:val="20"/>
          <w:rFonts w:hint="eastAsia" w:ascii="仿宋_GB2312" w:hAnsi="Times New Roman" w:eastAsia="仿宋_GB2312" w:cs="Times New Roman"/>
          <w:b/>
          <w:bCs/>
          <w:color w:val="000000"/>
          <w:spacing w:val="7"/>
          <w:kern w:val="2"/>
          <w:sz w:val="32"/>
          <w:szCs w:val="32"/>
          <w:shd w:val="clear" w:color="auto" w:fill="FFFFFF"/>
          <w:lang w:val="en-US" w:eastAsia="zh-CN" w:bidi="ar-SA"/>
        </w:rPr>
        <w:t>二是</w:t>
      </w:r>
      <w:r>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t>继续落实乡村振兴与健康扶贫相衔接工作，包括落实重点人群县域内住院先诊疗后付费政策、落实健康帮扶政策，确保大病患者应治尽治、慢性病患者100%签约服务管理，确保乡村基本医疗卫生服务全覆盖。</w:t>
      </w:r>
      <w:r>
        <w:rPr>
          <w:rStyle w:val="20"/>
          <w:rFonts w:hint="eastAsia" w:ascii="仿宋_GB2312" w:hAnsi="Times New Roman" w:eastAsia="仿宋_GB2312" w:cs="Times New Roman"/>
          <w:b/>
          <w:bCs/>
          <w:color w:val="000000"/>
          <w:spacing w:val="7"/>
          <w:kern w:val="2"/>
          <w:sz w:val="32"/>
          <w:szCs w:val="32"/>
          <w:shd w:val="clear" w:color="auto" w:fill="FFFFFF"/>
          <w:lang w:val="en-US" w:eastAsia="zh-CN" w:bidi="ar-SA"/>
        </w:rPr>
        <w:t>三是</w:t>
      </w:r>
      <w:r>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t>继续组织家庭医生团队落实家庭医生签约服务管理，辖区居民家庭医生签约服务率达到75%以上，重点人群签约服务率达到85%以上，确保“应签尽签”、“签约一个、履约一个”。</w:t>
      </w:r>
    </w:p>
    <w:p w14:paraId="70D6D33E">
      <w:pPr>
        <w:pStyle w:val="4"/>
        <w:keepNext/>
        <w:keepLines/>
        <w:pageBreakBefore w:val="0"/>
        <w:widowControl w:val="0"/>
        <w:kinsoku/>
        <w:wordWrap/>
        <w:overflowPunct/>
        <w:topLinePunct w:val="0"/>
        <w:autoSpaceDE/>
        <w:autoSpaceDN/>
        <w:bidi w:val="0"/>
        <w:adjustRightInd w:val="0"/>
        <w:snapToGrid w:val="0"/>
        <w:spacing w:line="600" w:lineRule="exact"/>
        <w:ind w:firstLine="643" w:firstLineChars="200"/>
        <w:jc w:val="left"/>
        <w:textAlignment w:val="auto"/>
        <w:rPr>
          <w:rFonts w:hint="eastAsia" w:ascii="楷体" w:hAnsi="楷体" w:eastAsia="楷体" w:cs="楷体"/>
          <w:lang w:val="en-US" w:eastAsia="zh-CN"/>
        </w:rPr>
      </w:pPr>
      <w:r>
        <w:rPr>
          <w:rFonts w:hint="eastAsia" w:ascii="楷体" w:hAnsi="楷体" w:eastAsia="楷体" w:cs="楷体"/>
          <w:lang w:val="en-US" w:eastAsia="zh-CN"/>
        </w:rPr>
        <w:t>（七）优化“一老一小”等重点人群服务效能</w:t>
      </w:r>
    </w:p>
    <w:p w14:paraId="469D1BAE">
      <w:pPr>
        <w:pageBreakBefore w:val="0"/>
        <w:widowControl w:val="0"/>
        <w:kinsoku/>
        <w:wordWrap/>
        <w:overflowPunct/>
        <w:topLinePunct w:val="0"/>
        <w:autoSpaceDE/>
        <w:autoSpaceDN/>
        <w:bidi w:val="0"/>
        <w:adjustRightInd w:val="0"/>
        <w:snapToGrid w:val="0"/>
        <w:spacing w:line="600" w:lineRule="exact"/>
        <w:ind w:firstLine="671" w:firstLineChars="200"/>
        <w:textAlignment w:val="auto"/>
        <w:rPr>
          <w:rFonts w:hint="eastAsia" w:ascii="楷体" w:hAnsi="楷体" w:eastAsia="楷体" w:cs="楷体"/>
          <w:kern w:val="2"/>
          <w:sz w:val="32"/>
          <w:szCs w:val="22"/>
          <w:lang w:val="en-US" w:eastAsia="zh-CN" w:bidi="ar-SA"/>
        </w:rPr>
      </w:pPr>
      <w:r>
        <w:rPr>
          <w:rStyle w:val="20"/>
          <w:rFonts w:hint="eastAsia" w:ascii="仿宋_GB2312" w:hAnsi="Times New Roman" w:eastAsia="仿宋_GB2312" w:cs="Times New Roman"/>
          <w:b/>
          <w:bCs/>
          <w:color w:val="000000"/>
          <w:spacing w:val="7"/>
          <w:kern w:val="2"/>
          <w:sz w:val="32"/>
          <w:szCs w:val="32"/>
          <w:shd w:val="clear" w:color="auto" w:fill="FFFFFF"/>
          <w:lang w:val="en-US" w:eastAsia="zh-CN" w:bidi="ar-SA"/>
        </w:rPr>
        <w:t>一是</w:t>
      </w:r>
      <w:r>
        <w:rPr>
          <w:rFonts w:hint="eastAsia" w:ascii="仿宋_GB2312" w:eastAsia="仿宋_GB2312"/>
          <w:color w:val="000000"/>
          <w:sz w:val="32"/>
          <w:szCs w:val="32"/>
        </w:rPr>
        <w:t>全面落实三孩生育政策及配套措施</w:t>
      </w:r>
      <w:r>
        <w:rPr>
          <w:rFonts w:hint="eastAsia" w:ascii="仿宋_GB2312" w:eastAsia="仿宋_GB2312"/>
          <w:color w:val="000000"/>
          <w:sz w:val="32"/>
          <w:szCs w:val="32"/>
          <w:lang w:eastAsia="zh-CN"/>
        </w:rPr>
        <w:t>。</w:t>
      </w:r>
      <w:r>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t>强化人口监测分析，全员人口数据录入率要达到85%以上。规范实施优化生育政策服务项目。</w:t>
      </w:r>
      <w:r>
        <w:rPr>
          <w:rStyle w:val="20"/>
          <w:rFonts w:hint="eastAsia" w:ascii="仿宋_GB2312" w:hAnsi="Times New Roman" w:eastAsia="仿宋_GB2312" w:cs="Times New Roman"/>
          <w:b/>
          <w:bCs/>
          <w:color w:val="000000"/>
          <w:spacing w:val="7"/>
          <w:kern w:val="2"/>
          <w:sz w:val="32"/>
          <w:szCs w:val="32"/>
          <w:shd w:val="clear" w:color="auto" w:fill="FFFFFF"/>
          <w:lang w:val="en-US" w:eastAsia="zh-CN" w:bidi="ar-SA"/>
        </w:rPr>
        <w:t>二是</w:t>
      </w:r>
      <w:r>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t>做好妇幼保健工作。深入实施母婴安全行动和健康儿童行动提升计划，巩固落实母婴安全五项制度。持续推进婚前医学检查工作，推进妇幼保健机构标准化建设和规范化管理。高质量完成“两癌”筛查任务，实现应筛尽筛，应查尽查。</w:t>
      </w:r>
      <w:r>
        <w:rPr>
          <w:rStyle w:val="20"/>
          <w:rFonts w:hint="eastAsia" w:ascii="仿宋_GB2312" w:hAnsi="Times New Roman" w:eastAsia="仿宋_GB2312" w:cs="Times New Roman"/>
          <w:b/>
          <w:bCs/>
          <w:color w:val="000000"/>
          <w:spacing w:val="7"/>
          <w:kern w:val="2"/>
          <w:sz w:val="32"/>
          <w:szCs w:val="32"/>
          <w:shd w:val="clear" w:color="auto" w:fill="FFFFFF"/>
          <w:lang w:val="en-US" w:eastAsia="zh-CN" w:bidi="ar-SA"/>
        </w:rPr>
        <w:t>三是</w:t>
      </w:r>
      <w:r>
        <w:rPr>
          <w:rFonts w:hint="eastAsia" w:ascii="仿宋_GB2312" w:eastAsia="仿宋_GB2312"/>
          <w:color w:val="000000"/>
          <w:sz w:val="32"/>
          <w:szCs w:val="32"/>
        </w:rPr>
        <w:t>做好一老一小照护服务。</w:t>
      </w:r>
      <w:r>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t>强化托育服务机构规范化管理，按规定时限对已备案托育服务机构进行公示。加强基层医疗机构老年友善医疗机构创建工作，年内新增创建成功的基层医疗机构数量较上年度有所提升。持续推进医养结合发展，落实基本公共卫生医养结合项目，实施社区医养结合能力提升项目。落实托育机构登记和备案管理，强化托育服务综合监管。年内新增托位数720个，每千人口托位数达到4个。</w:t>
      </w:r>
      <w:r>
        <w:rPr>
          <w:rStyle w:val="20"/>
          <w:rFonts w:hint="eastAsia" w:ascii="仿宋_GB2312" w:hAnsi="Times New Roman" w:eastAsia="仿宋_GB2312" w:cs="Times New Roman"/>
          <w:b/>
          <w:bCs/>
          <w:color w:val="000000"/>
          <w:spacing w:val="7"/>
          <w:kern w:val="2"/>
          <w:sz w:val="32"/>
          <w:szCs w:val="32"/>
          <w:shd w:val="clear" w:color="auto" w:fill="FFFFFF"/>
          <w:lang w:val="en-US" w:eastAsia="zh-CN" w:bidi="ar-SA"/>
        </w:rPr>
        <w:t>四是</w:t>
      </w:r>
      <w:r>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t>落实计划生育特殊家庭“三个全覆盖”各项措施落实到位。</w:t>
      </w:r>
    </w:p>
    <w:p w14:paraId="128BA026">
      <w:pPr>
        <w:pStyle w:val="4"/>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textAlignment w:val="auto"/>
        <w:rPr>
          <w:rStyle w:val="20"/>
          <w:rFonts w:hint="eastAsia" w:ascii="楷体" w:hAnsi="楷体" w:eastAsia="楷体" w:cs="楷体"/>
          <w:b w:val="0"/>
          <w:bCs w:val="0"/>
          <w:color w:val="000000"/>
          <w:spacing w:val="7"/>
          <w:kern w:val="2"/>
          <w:sz w:val="32"/>
          <w:szCs w:val="32"/>
          <w:shd w:val="clear" w:color="auto" w:fill="FFFFFF"/>
          <w:lang w:val="en-US" w:eastAsia="zh-CN" w:bidi="ar-SA"/>
        </w:rPr>
      </w:pPr>
      <w:r>
        <w:rPr>
          <w:rFonts w:hint="eastAsia" w:ascii="楷体" w:hAnsi="楷体" w:eastAsia="楷体" w:cs="楷体"/>
          <w:lang w:val="en-US" w:eastAsia="zh-CN"/>
        </w:rPr>
        <w:t>（八）持之以恒抓好安全生产</w:t>
      </w:r>
    </w:p>
    <w:p w14:paraId="3294AF8D">
      <w:pPr>
        <w:pageBreakBefore w:val="0"/>
        <w:widowControl w:val="0"/>
        <w:kinsoku/>
        <w:wordWrap/>
        <w:overflowPunct/>
        <w:topLinePunct w:val="0"/>
        <w:autoSpaceDE/>
        <w:autoSpaceDN/>
        <w:bidi w:val="0"/>
        <w:adjustRightInd w:val="0"/>
        <w:snapToGrid w:val="0"/>
        <w:spacing w:line="600" w:lineRule="exact"/>
        <w:ind w:firstLine="668" w:firstLineChars="200"/>
        <w:textAlignment w:val="auto"/>
        <w:rPr>
          <w:rFonts w:hint="default"/>
          <w:highlight w:val="yellow"/>
          <w:lang w:val="en-US" w:eastAsia="zh-CN"/>
        </w:rPr>
      </w:pPr>
      <w:r>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t>深刻吸取各类安全生产事故教训，</w:t>
      </w:r>
      <w:r>
        <w:rPr>
          <w:rStyle w:val="20"/>
          <w:rFonts w:hint="default" w:ascii="仿宋_GB2312" w:hAnsi="Times New Roman" w:eastAsia="仿宋_GB2312" w:cs="Times New Roman"/>
          <w:b w:val="0"/>
          <w:bCs w:val="0"/>
          <w:color w:val="000000"/>
          <w:spacing w:val="7"/>
          <w:kern w:val="2"/>
          <w:sz w:val="32"/>
          <w:szCs w:val="32"/>
          <w:shd w:val="clear" w:color="auto" w:fill="FFFFFF"/>
          <w:lang w:val="en-US" w:eastAsia="zh-CN" w:bidi="ar-SA"/>
        </w:rPr>
        <w:t>严守安全管理底线。</w:t>
      </w:r>
      <w:r>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t>各单位要</w:t>
      </w:r>
      <w:r>
        <w:rPr>
          <w:rStyle w:val="20"/>
          <w:rFonts w:hint="default" w:ascii="仿宋_GB2312" w:hAnsi="Times New Roman" w:eastAsia="仿宋_GB2312" w:cs="Times New Roman"/>
          <w:b w:val="0"/>
          <w:bCs w:val="0"/>
          <w:color w:val="000000"/>
          <w:spacing w:val="7"/>
          <w:kern w:val="2"/>
          <w:sz w:val="32"/>
          <w:szCs w:val="32"/>
          <w:shd w:val="clear" w:color="auto" w:fill="FFFFFF"/>
          <w:lang w:val="en-US" w:eastAsia="zh-CN" w:bidi="ar-SA"/>
        </w:rPr>
        <w:t>按照“三管三必须”原则，</w:t>
      </w:r>
      <w:r>
        <w:rPr>
          <w:rStyle w:val="20"/>
          <w:rFonts w:hint="eastAsia" w:ascii="仿宋_GB2312" w:hAnsi="Times New Roman" w:eastAsia="仿宋_GB2312" w:cs="Times New Roman"/>
          <w:b w:val="0"/>
          <w:bCs w:val="0"/>
          <w:color w:val="000000"/>
          <w:spacing w:val="7"/>
          <w:kern w:val="2"/>
          <w:sz w:val="32"/>
          <w:szCs w:val="32"/>
          <w:shd w:val="clear" w:color="auto" w:fill="FFFFFF"/>
          <w:lang w:val="en-US" w:eastAsia="zh-CN" w:bidi="ar-SA"/>
        </w:rPr>
        <w:t>抓好安全生产责任制落实，健全完善应急预案并开展演练，强化应急救援能力。持续组织开展专题学习和系列宣贯活动，牢固树立安全发展理念，要以“时时放心不下”的责任感持之以恒抓好安全生产工作。全区卫健系统</w:t>
      </w:r>
      <w:r>
        <w:rPr>
          <w:rStyle w:val="20"/>
          <w:rFonts w:hint="default" w:ascii="仿宋_GB2312" w:hAnsi="Times New Roman" w:eastAsia="仿宋_GB2312" w:cs="Times New Roman"/>
          <w:b w:val="0"/>
          <w:bCs w:val="0"/>
          <w:color w:val="000000"/>
          <w:spacing w:val="7"/>
          <w:kern w:val="2"/>
          <w:sz w:val="32"/>
          <w:szCs w:val="32"/>
          <w:shd w:val="clear" w:color="auto" w:fill="FFFFFF"/>
          <w:lang w:val="en-US" w:eastAsia="zh-CN" w:bidi="ar-SA"/>
        </w:rPr>
        <w:t>全年最少开展4次安全生产大排查大整治活动，全方位排查整治风险隐患，确保安全生产形势持续稳定。</w:t>
      </w:r>
    </w:p>
    <w:p w14:paraId="649B85E2">
      <w:pPr>
        <w:pageBreakBefore w:val="0"/>
        <w:widowControl w:val="0"/>
        <w:kinsoku/>
        <w:wordWrap/>
        <w:overflowPunct/>
        <w:topLinePunct w:val="0"/>
        <w:autoSpaceDE/>
        <w:autoSpaceDN/>
        <w:bidi w:val="0"/>
        <w:spacing w:line="600" w:lineRule="exact"/>
        <w:ind w:firstLine="640" w:firstLineChars="200"/>
        <w:textAlignment w:val="auto"/>
        <w:rPr>
          <w:rFonts w:hint="eastAsia" w:ascii="楷体" w:hAnsi="楷体" w:eastAsia="楷体" w:cs="楷体"/>
          <w:color w:val="000000"/>
          <w:sz w:val="32"/>
          <w:szCs w:val="32"/>
        </w:rPr>
      </w:pPr>
      <w:r>
        <w:rPr>
          <w:rFonts w:hint="eastAsia" w:ascii="楷体" w:hAnsi="楷体" w:eastAsia="楷体" w:cs="楷体"/>
          <w:bCs/>
          <w:kern w:val="2"/>
          <w:sz w:val="32"/>
          <w:szCs w:val="24"/>
          <w:lang w:val="en-US" w:eastAsia="zh-CN" w:bidi="ar-SA"/>
        </w:rPr>
        <w:t>（九）加快推进重点项目</w:t>
      </w:r>
      <w:r>
        <w:rPr>
          <w:rFonts w:hint="eastAsia" w:ascii="楷体" w:hAnsi="楷体" w:eastAsia="楷体" w:cs="楷体"/>
          <w:sz w:val="32"/>
          <w:szCs w:val="32"/>
        </w:rPr>
        <w:t>建设</w:t>
      </w:r>
    </w:p>
    <w:p w14:paraId="5630A2C7">
      <w:pPr>
        <w:pageBreakBefore w:val="0"/>
        <w:widowControl w:val="0"/>
        <w:kinsoku/>
        <w:wordWrap/>
        <w:overflowPunct/>
        <w:topLinePunct w:val="0"/>
        <w:autoSpaceDE/>
        <w:autoSpaceDN/>
        <w:bidi w:val="0"/>
        <w:spacing w:line="600" w:lineRule="exact"/>
        <w:ind w:firstLine="640" w:firstLineChars="200"/>
        <w:textAlignment w:val="auto"/>
        <w:rPr>
          <w:rFonts w:hint="default"/>
          <w:highlight w:val="yellow"/>
          <w:lang w:val="en-US" w:eastAsia="zh-CN"/>
        </w:rPr>
      </w:pPr>
      <w:r>
        <w:rPr>
          <w:rFonts w:hint="eastAsia" w:ascii="仿宋_GB2312" w:eastAsia="仿宋_GB2312" w:cs="Times New Roman"/>
          <w:color w:val="000000"/>
          <w:sz w:val="32"/>
          <w:szCs w:val="32"/>
          <w:lang w:eastAsia="zh-CN"/>
        </w:rPr>
        <w:t>疾控中心新址和中蒙医院二期续建项目，资金方面要</w:t>
      </w:r>
      <w:r>
        <w:rPr>
          <w:rFonts w:hint="eastAsia" w:ascii="仿宋_GB2312" w:eastAsia="仿宋_GB2312"/>
          <w:color w:val="000000"/>
          <w:sz w:val="32"/>
          <w:szCs w:val="32"/>
        </w:rPr>
        <w:t>积极与区政府进行申请和协调</w:t>
      </w:r>
      <w:r>
        <w:rPr>
          <w:rFonts w:hint="eastAsia" w:ascii="仿宋_GB2312" w:eastAsia="仿宋_GB2312"/>
          <w:color w:val="000000"/>
          <w:sz w:val="32"/>
          <w:szCs w:val="32"/>
          <w:lang w:eastAsia="zh-CN"/>
        </w:rPr>
        <w:t>，</w:t>
      </w:r>
      <w:r>
        <w:rPr>
          <w:rFonts w:hint="eastAsia" w:ascii="仿宋_GB2312" w:eastAsia="仿宋_GB2312" w:cs="Times New Roman"/>
          <w:color w:val="000000"/>
          <w:sz w:val="32"/>
          <w:szCs w:val="32"/>
          <w:lang w:eastAsia="zh-CN"/>
        </w:rPr>
        <w:t>尽快在近期恢复施工，</w:t>
      </w:r>
      <w:r>
        <w:rPr>
          <w:rFonts w:hint="eastAsia" w:ascii="仿宋_GB2312" w:eastAsia="仿宋_GB2312" w:cs="Times New Roman"/>
          <w:color w:val="000000"/>
          <w:sz w:val="32"/>
          <w:szCs w:val="32"/>
        </w:rPr>
        <w:t>确保年内投</w:t>
      </w:r>
      <w:r>
        <w:rPr>
          <w:rFonts w:hint="eastAsia" w:ascii="仿宋_GB2312" w:eastAsia="仿宋_GB2312" w:cs="Times New Roman"/>
          <w:color w:val="000000"/>
          <w:sz w:val="32"/>
          <w:szCs w:val="32"/>
          <w:lang w:eastAsia="zh-CN"/>
        </w:rPr>
        <w:t>入使</w:t>
      </w:r>
      <w:r>
        <w:rPr>
          <w:rFonts w:hint="eastAsia" w:ascii="仿宋_GB2312" w:eastAsia="仿宋_GB2312" w:cs="Times New Roman"/>
          <w:color w:val="000000"/>
          <w:sz w:val="32"/>
          <w:szCs w:val="32"/>
        </w:rPr>
        <w:t>用</w:t>
      </w:r>
      <w:r>
        <w:rPr>
          <w:rFonts w:hint="eastAsia" w:ascii="仿宋_GB2312" w:eastAsia="仿宋_GB2312" w:cs="Times New Roman"/>
          <w:color w:val="000000"/>
          <w:sz w:val="32"/>
          <w:szCs w:val="32"/>
          <w:lang w:eastAsia="zh-CN"/>
        </w:rPr>
        <w:t>。区妇幼保健院托育综合服务中心建设项目已入库，要尽快完成土地性质转变和土地划拨手续办理等工作。哈拉道口、大庙、老府镇中心卫生院改扩建项目，前期工作已完成，进入财政评审阶段。穆家营子镇五三卫生院建设项目</w:t>
      </w:r>
      <w:r>
        <w:rPr>
          <w:rFonts w:hint="eastAsia" w:ascii="仿宋_GB2312" w:eastAsia="仿宋_GB2312" w:cs="Times New Roman"/>
          <w:color w:val="000000"/>
          <w:sz w:val="32"/>
          <w:szCs w:val="32"/>
        </w:rPr>
        <w:t>，</w:t>
      </w:r>
      <w:r>
        <w:rPr>
          <w:rFonts w:hint="eastAsia" w:ascii="仿宋_GB2312" w:eastAsia="仿宋_GB2312" w:cs="Times New Roman"/>
          <w:color w:val="000000"/>
          <w:sz w:val="32"/>
          <w:szCs w:val="32"/>
          <w:lang w:eastAsia="zh-CN"/>
        </w:rPr>
        <w:t>项目建议书已通过，待土地划拨手续、地勘可研初设等完成后开展好后续工作。</w:t>
      </w:r>
    </w:p>
    <w:p w14:paraId="77FB7AD7">
      <w:pPr>
        <w:pStyle w:val="4"/>
        <w:keepNext/>
        <w:keepLines/>
        <w:pageBreakBefore w:val="0"/>
        <w:widowControl w:val="0"/>
        <w:kinsoku/>
        <w:wordWrap/>
        <w:overflowPunct/>
        <w:topLinePunct w:val="0"/>
        <w:autoSpaceDE/>
        <w:autoSpaceDN/>
        <w:bidi w:val="0"/>
        <w:adjustRightInd w:val="0"/>
        <w:snapToGrid w:val="0"/>
        <w:spacing w:line="600" w:lineRule="exact"/>
        <w:ind w:firstLine="643" w:firstLineChars="200"/>
        <w:jc w:val="left"/>
        <w:textAlignment w:val="auto"/>
        <w:rPr>
          <w:rFonts w:hint="default"/>
          <w:lang w:val="en-US" w:eastAsia="zh-CN"/>
        </w:rPr>
      </w:pPr>
      <w:r>
        <w:rPr>
          <w:rFonts w:hint="eastAsia" w:ascii="楷体" w:hAnsi="楷体" w:eastAsia="楷体" w:cs="楷体"/>
          <w:lang w:val="en-US" w:eastAsia="zh-CN"/>
        </w:rPr>
        <w:t>（十）加强党对卫生健康工作的全面领导</w:t>
      </w:r>
    </w:p>
    <w:p w14:paraId="7F5460FE">
      <w:pPr>
        <w:pageBreakBefore w:val="0"/>
        <w:widowControl w:val="0"/>
        <w:numPr>
          <w:ilvl w:val="0"/>
          <w:numId w:val="0"/>
        </w:numPr>
        <w:kinsoku/>
        <w:wordWrap/>
        <w:overflowPunct/>
        <w:topLinePunct w:val="0"/>
        <w:autoSpaceDE/>
        <w:autoSpaceDN/>
        <w:bidi w:val="0"/>
        <w:spacing w:line="600" w:lineRule="exact"/>
        <w:ind w:firstLine="643" w:firstLineChars="200"/>
        <w:textAlignment w:val="auto"/>
        <w:rPr>
          <w:rFonts w:hint="eastAsia" w:ascii="黑体" w:hAnsi="黑体" w:eastAsia="黑体"/>
          <w:sz w:val="32"/>
          <w:szCs w:val="32"/>
        </w:rPr>
      </w:pPr>
      <w:r>
        <w:rPr>
          <w:rFonts w:hint="eastAsia" w:ascii="仿宋_GB2312" w:eastAsia="仿宋_GB2312" w:cs="Times New Roman"/>
          <w:b/>
          <w:bCs/>
          <w:color w:val="000000"/>
          <w:sz w:val="32"/>
          <w:szCs w:val="32"/>
          <w:lang w:val="en-US" w:eastAsia="zh-CN"/>
        </w:rPr>
        <w:t>一是</w:t>
      </w:r>
      <w:r>
        <w:rPr>
          <w:rFonts w:hint="eastAsia" w:ascii="仿宋_GB2312" w:eastAsia="仿宋_GB2312" w:cs="Times New Roman"/>
          <w:color w:val="000000"/>
          <w:sz w:val="32"/>
          <w:szCs w:val="32"/>
          <w:lang w:val="en-US" w:eastAsia="zh-CN"/>
        </w:rPr>
        <w:t>坚持以党的政治建设为统领，巩固拓展习近平新时代中国特色社会主义思想主题教育成果，扎实开展“感党恩、听党话、跟党走”群众教育实践活动，创新方式方法向群众讲清“六句话”的事实和道理。</w:t>
      </w:r>
      <w:r>
        <w:rPr>
          <w:rFonts w:hint="eastAsia" w:ascii="仿宋_GB2312" w:eastAsia="仿宋_GB2312" w:cs="Times New Roman"/>
          <w:b/>
          <w:bCs/>
          <w:color w:val="000000"/>
          <w:sz w:val="32"/>
          <w:szCs w:val="32"/>
          <w:lang w:val="en-US" w:eastAsia="zh-CN"/>
        </w:rPr>
        <w:t>二是</w:t>
      </w:r>
      <w:r>
        <w:rPr>
          <w:rFonts w:hint="eastAsia" w:ascii="仿宋_GB2312" w:eastAsia="仿宋_GB2312" w:cs="Times New Roman"/>
          <w:color w:val="000000"/>
          <w:sz w:val="32"/>
          <w:szCs w:val="32"/>
          <w:lang w:val="en-US" w:eastAsia="zh-CN"/>
        </w:rPr>
        <w:t>严格落实意识形态工作责任制，</w:t>
      </w:r>
      <w:r>
        <w:rPr>
          <w:rFonts w:hint="eastAsia" w:ascii="仿宋_GB2312" w:eastAsia="仿宋_GB2312"/>
          <w:color w:val="000000"/>
          <w:sz w:val="32"/>
          <w:szCs w:val="32"/>
        </w:rPr>
        <w:t>筑牢网络意识形态安全屏障</w:t>
      </w:r>
      <w:r>
        <w:rPr>
          <w:rFonts w:hint="eastAsia" w:ascii="仿宋_GB2312" w:eastAsia="仿宋_GB2312" w:cs="Times New Roman"/>
          <w:color w:val="000000"/>
          <w:sz w:val="32"/>
          <w:szCs w:val="32"/>
          <w:lang w:val="en-US" w:eastAsia="zh-CN"/>
        </w:rPr>
        <w:t>，不断提升意识形态工作水平，坚决守好意识形态主阵地，</w:t>
      </w:r>
      <w:r>
        <w:rPr>
          <w:rFonts w:hint="eastAsia" w:ascii="仿宋_GB2312" w:eastAsia="仿宋_GB2312"/>
          <w:color w:val="000000"/>
          <w:sz w:val="32"/>
          <w:szCs w:val="32"/>
        </w:rPr>
        <w:t>确保全系统在意识形态领域不出</w:t>
      </w:r>
      <w:r>
        <w:rPr>
          <w:rFonts w:hint="eastAsia" w:ascii="仿宋_GB2312" w:eastAsia="仿宋_GB2312"/>
          <w:color w:val="000000"/>
          <w:sz w:val="32"/>
          <w:szCs w:val="32"/>
          <w:lang w:eastAsia="zh-CN"/>
        </w:rPr>
        <w:t>问题</w:t>
      </w:r>
      <w:r>
        <w:rPr>
          <w:rFonts w:hint="eastAsia" w:ascii="仿宋_GB2312" w:eastAsia="仿宋_GB2312"/>
          <w:color w:val="000000"/>
          <w:sz w:val="32"/>
          <w:szCs w:val="32"/>
        </w:rPr>
        <w:t>。</w:t>
      </w:r>
      <w:r>
        <w:rPr>
          <w:rFonts w:hint="eastAsia" w:ascii="仿宋_GB2312" w:eastAsia="仿宋_GB2312" w:cs="Times New Roman"/>
          <w:b/>
          <w:bCs/>
          <w:color w:val="000000"/>
          <w:sz w:val="32"/>
          <w:szCs w:val="32"/>
          <w:lang w:val="en-US" w:eastAsia="zh-CN"/>
        </w:rPr>
        <w:t>三是</w:t>
      </w:r>
      <w:r>
        <w:rPr>
          <w:rFonts w:hint="eastAsia" w:ascii="仿宋_GB2312" w:eastAsia="仿宋_GB2312" w:cs="Times New Roman"/>
          <w:b w:val="0"/>
          <w:bCs w:val="0"/>
          <w:color w:val="000000"/>
          <w:sz w:val="32"/>
          <w:szCs w:val="32"/>
          <w:lang w:val="en-US" w:eastAsia="zh-CN"/>
        </w:rPr>
        <w:t>各党支部</w:t>
      </w:r>
      <w:r>
        <w:rPr>
          <w:rFonts w:hint="eastAsia" w:ascii="仿宋_GB2312" w:eastAsia="仿宋_GB2312" w:cs="Times New Roman"/>
          <w:color w:val="000000"/>
          <w:sz w:val="32"/>
          <w:szCs w:val="32"/>
          <w:lang w:val="en-US" w:eastAsia="zh-CN"/>
        </w:rPr>
        <w:t>对照“星级化”建设标准，积极创建坚强堡垒模范支部。</w:t>
      </w:r>
      <w:r>
        <w:rPr>
          <w:rFonts w:hint="eastAsia" w:ascii="仿宋_GB2312" w:eastAsia="仿宋_GB2312" w:cs="Times New Roman"/>
          <w:b/>
          <w:bCs/>
          <w:color w:val="000000"/>
          <w:sz w:val="32"/>
          <w:szCs w:val="32"/>
          <w:lang w:val="en-US" w:eastAsia="zh-CN"/>
        </w:rPr>
        <w:t>四是</w:t>
      </w:r>
      <w:r>
        <w:rPr>
          <w:rFonts w:hint="eastAsia" w:ascii="仿宋_GB2312" w:eastAsia="仿宋_GB2312" w:cs="Times New Roman"/>
          <w:color w:val="000000"/>
          <w:sz w:val="32"/>
          <w:szCs w:val="32"/>
          <w:lang w:val="en-US" w:eastAsia="zh-CN"/>
        </w:rPr>
        <w:t>在全系统开展一次集中性纪律教育，推动广大党员、干部自觉把铁的纪律转化为日常习惯和行动准绳。</w:t>
      </w:r>
      <w:r>
        <w:rPr>
          <w:rFonts w:hint="eastAsia" w:ascii="仿宋_GB2312" w:eastAsia="仿宋_GB2312" w:cs="Times New Roman"/>
          <w:b/>
          <w:bCs/>
          <w:color w:val="000000"/>
          <w:sz w:val="32"/>
          <w:szCs w:val="32"/>
          <w:lang w:val="en-US" w:eastAsia="zh-CN"/>
        </w:rPr>
        <w:t>五是</w:t>
      </w:r>
      <w:r>
        <w:rPr>
          <w:rFonts w:hint="eastAsia" w:ascii="仿宋_GB2312" w:eastAsia="仿宋_GB2312" w:cs="Times New Roman"/>
          <w:color w:val="000000"/>
          <w:sz w:val="32"/>
          <w:szCs w:val="32"/>
          <w:lang w:val="en-US" w:eastAsia="zh-CN"/>
        </w:rPr>
        <w:t>加强医德医风建设，扎实开展医药领域腐败问题专项整治。深入推进“清廉医院”建设，监察室牵头制定“清廉医院”建设工作任务清单和考评细则，定期督导检查“清廉医院”建设工作任务落实情况，树立担当作为、为民服务的良好形象。</w:t>
      </w:r>
    </w:p>
    <w:p w14:paraId="7748EE93">
      <w:pPr>
        <w:widowControl/>
        <w:spacing w:before="240" w:after="240"/>
        <w:jc w:val="left"/>
        <w:rPr>
          <w:rFonts w:ascii="Times New Roman" w:hAnsi="Times New Roman" w:eastAsia="Times New Roman" w:cs="Times New Roman"/>
          <w:kern w:val="0"/>
          <w:sz w:val="24"/>
        </w:rPr>
      </w:pPr>
    </w:p>
    <w:p w14:paraId="49034E15">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部门（单位）决算情况说明</w:t>
      </w:r>
    </w:p>
    <w:p w14:paraId="75441CCD">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355B4BC3">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赤峰市松山区卫生健康委员会(本级）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single"/>
          <w:lang w:eastAsia="en-US"/>
        </w:rPr>
        <w:t xml:space="preserve"> 9935.13</w:t>
      </w:r>
      <w:r>
        <w:rPr>
          <w:rFonts w:ascii="FangSong_GB2312" w:hAnsi="FangSong_GB2312" w:eastAsia="FangSong_GB2312" w:cs="FangSong_GB2312"/>
          <w:kern w:val="0"/>
          <w:sz w:val="32"/>
          <w:szCs w:val="32"/>
        </w:rPr>
        <w:t>万元。与年初预算相比，收、支总计各增加（减少）</w:t>
      </w:r>
      <w:r>
        <w:rPr>
          <w:rFonts w:eastAsia="Times New Roman"/>
          <w:kern w:val="0"/>
          <w:sz w:val="32"/>
          <w:szCs w:val="32"/>
          <w:u w:val="single"/>
          <w:lang w:eastAsia="en-US"/>
        </w:rPr>
        <w:t xml:space="preserve"> -2371.42</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-19.27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2025年实行零基预算压缩支出</w:t>
      </w:r>
      <w:r>
        <w:rPr>
          <w:rFonts w:ascii="FangSong_GB2312" w:hAnsi="FangSong_GB2312" w:eastAsia="FangSong_GB2312" w:cs="FangSong_GB2312"/>
          <w:kern w:val="0"/>
          <w:sz w:val="32"/>
          <w:szCs w:val="32"/>
        </w:rPr>
        <w:t>；与上年决算相比，收、支总计各增加（减少）</w:t>
      </w:r>
      <w:r>
        <w:rPr>
          <w:rFonts w:eastAsia="Times New Roman"/>
          <w:kern w:val="0"/>
          <w:sz w:val="32"/>
          <w:szCs w:val="32"/>
          <w:u w:val="single"/>
          <w:lang w:eastAsia="en-US"/>
        </w:rPr>
        <w:t xml:space="preserve"> 3092.77</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45.20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24EAC489">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single"/>
          <w:lang w:eastAsia="en-US"/>
        </w:rPr>
        <w:t xml:space="preserve"> 9935.13</w:t>
      </w:r>
      <w:r>
        <w:rPr>
          <w:rFonts w:ascii="楷体" w:hAnsi="楷体" w:eastAsia="楷体" w:cs="楷体"/>
          <w:b/>
          <w:bCs/>
          <w:kern w:val="0"/>
          <w:sz w:val="32"/>
          <w:szCs w:val="32"/>
        </w:rPr>
        <w:t>万元。包括：</w:t>
      </w:r>
    </w:p>
    <w:p w14:paraId="50BB67A4">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single"/>
          <w:lang w:eastAsia="en-US"/>
        </w:rPr>
        <w:t xml:space="preserve"> 9935.13</w:t>
      </w:r>
      <w:r>
        <w:rPr>
          <w:rFonts w:ascii="FangSong_GB2312" w:hAnsi="FangSong_GB2312" w:eastAsia="FangSong_GB2312" w:cs="FangSong_GB2312"/>
          <w:kern w:val="0"/>
          <w:sz w:val="32"/>
          <w:szCs w:val="32"/>
        </w:rPr>
        <w:t>万元。与上年决算相比，增加（减少）</w:t>
      </w:r>
      <w:r>
        <w:rPr>
          <w:rFonts w:eastAsia="Times New Roman"/>
          <w:kern w:val="0"/>
          <w:sz w:val="32"/>
          <w:szCs w:val="32"/>
          <w:u w:val="single"/>
          <w:lang w:eastAsia="en-US"/>
        </w:rPr>
        <w:t xml:space="preserve"> 3092.77</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45.20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2025年实行零基预算压缩支出</w:t>
      </w:r>
      <w:r>
        <w:rPr>
          <w:rFonts w:ascii="FangSong_GB2312" w:hAnsi="FangSong_GB2312" w:eastAsia="FangSong_GB2312" w:cs="FangSong_GB2312"/>
          <w:kern w:val="0"/>
          <w:sz w:val="32"/>
          <w:szCs w:val="32"/>
        </w:rPr>
        <w:t>。</w:t>
      </w:r>
    </w:p>
    <w:p w14:paraId="5B341228">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使用非财政拨款结余（含专用结余）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万元。与上年决算相比，增加（减少）</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w:t>
      </w:r>
    </w:p>
    <w:p w14:paraId="474B7172">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年初结转和结余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w:t>
      </w:r>
    </w:p>
    <w:p w14:paraId="711DB030">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single"/>
          <w:lang w:eastAsia="en-US"/>
        </w:rPr>
        <w:t xml:space="preserve"> 9935.13</w:t>
      </w:r>
      <w:r>
        <w:rPr>
          <w:rFonts w:ascii="楷体" w:hAnsi="楷体" w:eastAsia="楷体" w:cs="楷体"/>
          <w:b/>
          <w:bCs/>
          <w:kern w:val="0"/>
          <w:sz w:val="32"/>
          <w:szCs w:val="32"/>
        </w:rPr>
        <w:t>万元。包括：</w:t>
      </w:r>
    </w:p>
    <w:p w14:paraId="5FFE9FE2">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本年支出决算合计</w:t>
      </w:r>
      <w:r>
        <w:rPr>
          <w:rFonts w:eastAsia="Times New Roman"/>
          <w:kern w:val="0"/>
          <w:sz w:val="32"/>
          <w:szCs w:val="32"/>
          <w:u w:val="single"/>
          <w:lang w:eastAsia="en-US"/>
        </w:rPr>
        <w:t xml:space="preserve"> 9935.13</w:t>
      </w:r>
      <w:r>
        <w:rPr>
          <w:rFonts w:ascii="FangSong_GB2312" w:hAnsi="FangSong_GB2312" w:eastAsia="FangSong_GB2312" w:cs="FangSong_GB2312"/>
          <w:kern w:val="0"/>
          <w:sz w:val="32"/>
          <w:szCs w:val="32"/>
        </w:rPr>
        <w:t>万元。与上年决算相比，增加（减少）</w:t>
      </w:r>
      <w:r>
        <w:rPr>
          <w:rFonts w:eastAsia="Times New Roman"/>
          <w:kern w:val="0"/>
          <w:sz w:val="32"/>
          <w:szCs w:val="32"/>
          <w:u w:val="single"/>
          <w:lang w:eastAsia="en-US"/>
        </w:rPr>
        <w:t xml:space="preserve"> 3092.77</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45.20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2025年实行零基预算压缩支出</w:t>
      </w:r>
      <w:r>
        <w:rPr>
          <w:rFonts w:ascii="FangSong_GB2312" w:hAnsi="FangSong_GB2312" w:eastAsia="FangSong_GB2312" w:cs="FangSong_GB2312"/>
          <w:kern w:val="0"/>
          <w:sz w:val="32"/>
          <w:szCs w:val="32"/>
        </w:rPr>
        <w:t>。</w:t>
      </w:r>
    </w:p>
    <w:p w14:paraId="1E44B9F1">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结余分配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万元。结余分配事项：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w:t>
      </w:r>
    </w:p>
    <w:p w14:paraId="64333DF6">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年末结转和结余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万元。结转和结余事项：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。与上年决算相比，增加（减少）</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w:t>
      </w:r>
    </w:p>
    <w:p w14:paraId="0F0FF8BF">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2FED7327">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赤峰市松山区卫生健康委员会(本级）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single"/>
          <w:lang w:eastAsia="en-US"/>
        </w:rPr>
        <w:t xml:space="preserve"> 9935.13</w:t>
      </w:r>
      <w:r>
        <w:rPr>
          <w:rFonts w:ascii="FangSong_GB2312" w:hAnsi="FangSong_GB2312" w:eastAsia="FangSong_GB2312" w:cs="FangSong_GB2312"/>
          <w:kern w:val="0"/>
          <w:sz w:val="32"/>
          <w:szCs w:val="32"/>
        </w:rPr>
        <w:t>万元，其中：</w:t>
      </w:r>
    </w:p>
    <w:p w14:paraId="135E7865">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一般公共预算财政拨款收入</w:t>
      </w:r>
      <w:r>
        <w:rPr>
          <w:rFonts w:eastAsia="Times New Roman"/>
          <w:kern w:val="0"/>
          <w:sz w:val="32"/>
          <w:szCs w:val="32"/>
          <w:u w:val="single"/>
          <w:lang w:eastAsia="en-US"/>
        </w:rPr>
        <w:t xml:space="preserve"> 9764.98</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98.29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E31480E">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政府性基金预算财政拨款收入</w:t>
      </w:r>
      <w:r>
        <w:rPr>
          <w:rFonts w:eastAsia="Times New Roman"/>
          <w:kern w:val="0"/>
          <w:sz w:val="32"/>
          <w:szCs w:val="32"/>
          <w:u w:val="single"/>
          <w:lang w:eastAsia="en-US"/>
        </w:rPr>
        <w:t xml:space="preserve"> 170.15</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1.71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CE036BA">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国有资本经营预算财政拨款收入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5809046">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上级补助收入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C4344E2">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事业收入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73439EA">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F7169B3">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附属单位上缴收入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36D5E41">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其他收入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E4F25D0">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989955" cy="3743960"/>
            <wp:effectExtent l="0" t="0" r="10795" b="889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6"/>
                    <a:stretch>
                      <a:fillRect/>
                    </a:stretch>
                  </pic:blipFill>
                  <pic:spPr>
                    <a:xfrm>
                      <a:off x="0" y="0"/>
                      <a:ext cx="5989955" cy="374396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2E93D61B">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14:paraId="6CABB3FB">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3D661481">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年度本年支出决算合计</w:t>
      </w:r>
      <w:r>
        <w:rPr>
          <w:rFonts w:eastAsia="Times New Roman"/>
          <w:kern w:val="0"/>
          <w:sz w:val="32"/>
          <w:szCs w:val="32"/>
          <w:u w:val="single"/>
          <w:lang w:eastAsia="en-US"/>
        </w:rPr>
        <w:t xml:space="preserve"> 9935.13</w:t>
      </w:r>
      <w:r>
        <w:rPr>
          <w:rFonts w:ascii="FangSong_GB2312" w:hAnsi="FangSong_GB2312" w:eastAsia="FangSong_GB2312" w:cs="FangSong_GB2312"/>
          <w:kern w:val="0"/>
          <w:sz w:val="32"/>
          <w:szCs w:val="32"/>
        </w:rPr>
        <w:t>万元，其中：</w:t>
      </w:r>
    </w:p>
    <w:p w14:paraId="558EDC9C">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基本支出</w:t>
      </w:r>
      <w:r>
        <w:rPr>
          <w:rFonts w:eastAsia="Times New Roman"/>
          <w:kern w:val="0"/>
          <w:sz w:val="32"/>
          <w:szCs w:val="32"/>
          <w:u w:val="single"/>
          <w:lang w:eastAsia="en-US"/>
        </w:rPr>
        <w:t xml:space="preserve"> 786.37</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7.92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2925C2F">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项目支出</w:t>
      </w:r>
      <w:r>
        <w:rPr>
          <w:rFonts w:eastAsia="Times New Roman"/>
          <w:kern w:val="0"/>
          <w:sz w:val="32"/>
          <w:szCs w:val="32"/>
          <w:u w:val="single"/>
          <w:lang w:eastAsia="en-US"/>
        </w:rPr>
        <w:t xml:space="preserve"> 9148.76</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92.08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089A2E55">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上缴上级支出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61CB04C">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62D1D02">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对附属单位补助支出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6427C05">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939155" cy="3712210"/>
            <wp:effectExtent l="0" t="0" r="4445" b="254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7"/>
                    <a:stretch>
                      <a:fillRect/>
                    </a:stretch>
                  </pic:blipFill>
                  <pic:spPr>
                    <a:xfrm>
                      <a:off x="0" y="0"/>
                      <a:ext cx="5939155" cy="371221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4CD3FF69">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0F681718">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14:paraId="33847556">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年度财政拨款收入、支出决算总计均为</w:t>
      </w:r>
      <w:r>
        <w:rPr>
          <w:rFonts w:eastAsia="Times New Roman"/>
          <w:kern w:val="0"/>
          <w:sz w:val="32"/>
          <w:szCs w:val="32"/>
          <w:u w:val="single"/>
          <w:lang w:eastAsia="en-US"/>
        </w:rPr>
        <w:t xml:space="preserve"> 9935.13</w:t>
      </w:r>
      <w:r>
        <w:rPr>
          <w:rFonts w:ascii="FangSong_GB2312" w:hAnsi="FangSong_GB2312" w:eastAsia="FangSong_GB2312" w:cs="FangSong_GB2312"/>
          <w:kern w:val="0"/>
          <w:sz w:val="32"/>
          <w:szCs w:val="32"/>
        </w:rPr>
        <w:t>万元，与年初预算相比，收、支总计各增加（减少）</w:t>
      </w:r>
      <w:r>
        <w:rPr>
          <w:rFonts w:eastAsia="Times New Roman"/>
          <w:kern w:val="0"/>
          <w:sz w:val="32"/>
          <w:szCs w:val="32"/>
          <w:u w:val="single"/>
          <w:lang w:eastAsia="en-US"/>
        </w:rPr>
        <w:t xml:space="preserve"> -2371.42</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-19.27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rPr>
        <w:t>2025年实行零基预算压缩支出</w:t>
      </w:r>
      <w:r>
        <w:rPr>
          <w:rFonts w:ascii="FangSong_GB2312" w:hAnsi="FangSong_GB2312" w:eastAsia="FangSong_GB2312" w:cs="FangSong_GB2312"/>
          <w:kern w:val="0"/>
          <w:sz w:val="32"/>
          <w:szCs w:val="32"/>
        </w:rPr>
        <w:t>；与上年决算相比，收、支总计各增加（减少）</w:t>
      </w:r>
      <w:r>
        <w:rPr>
          <w:rFonts w:eastAsia="Times New Roman"/>
          <w:kern w:val="0"/>
          <w:sz w:val="32"/>
          <w:szCs w:val="32"/>
          <w:u w:val="single"/>
          <w:lang w:eastAsia="en-US"/>
        </w:rPr>
        <w:t xml:space="preserve"> 3092.77</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45.20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rPr>
        <w:t>2025年实行零基预算压缩支出</w:t>
      </w:r>
      <w:r>
        <w:rPr>
          <w:rFonts w:ascii="FangSong_GB2312" w:hAnsi="FangSong_GB2312" w:eastAsia="FangSong_GB2312" w:cs="FangSong_GB2312"/>
          <w:kern w:val="0"/>
          <w:sz w:val="32"/>
          <w:szCs w:val="32"/>
        </w:rPr>
        <w:t>。</w:t>
      </w:r>
    </w:p>
    <w:p w14:paraId="23319ADD">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7D44F53B">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年度一般公共预算财政拨款支出决算</w:t>
      </w:r>
      <w:r>
        <w:rPr>
          <w:rFonts w:eastAsia="Times New Roman"/>
          <w:kern w:val="0"/>
          <w:sz w:val="32"/>
          <w:szCs w:val="32"/>
          <w:u w:val="single"/>
          <w:lang w:eastAsia="en-US"/>
        </w:rPr>
        <w:t xml:space="preserve"> 9764.98</w:t>
      </w:r>
      <w:r>
        <w:rPr>
          <w:rFonts w:ascii="FangSong_GB2312" w:hAnsi="FangSong_GB2312" w:eastAsia="FangSong_GB2312" w:cs="FangSong_GB2312"/>
          <w:kern w:val="0"/>
          <w:sz w:val="32"/>
          <w:szCs w:val="32"/>
        </w:rPr>
        <w:t>万元。与年初预算</w:t>
      </w:r>
      <w:r>
        <w:rPr>
          <w:rFonts w:eastAsia="Times New Roman"/>
          <w:kern w:val="0"/>
          <w:sz w:val="32"/>
          <w:szCs w:val="32"/>
          <w:u w:val="single"/>
          <w:lang w:eastAsia="en-US"/>
        </w:rPr>
        <w:t xml:space="preserve"> 12306.56</w:t>
      </w:r>
      <w:r>
        <w:rPr>
          <w:rFonts w:ascii="FangSong_GB2312" w:hAnsi="FangSong_GB2312" w:eastAsia="FangSong_GB2312" w:cs="FangSong_GB2312"/>
          <w:kern w:val="0"/>
          <w:sz w:val="32"/>
          <w:szCs w:val="32"/>
        </w:rPr>
        <w:t>万元相比，完成年初预算的</w:t>
      </w:r>
      <w:r>
        <w:rPr>
          <w:rFonts w:eastAsia="Times New Roman"/>
          <w:kern w:val="0"/>
          <w:sz w:val="32"/>
          <w:szCs w:val="32"/>
          <w:u w:val="single"/>
          <w:lang w:eastAsia="en-US"/>
        </w:rPr>
        <w:t xml:space="preserve"> 79.35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7202B608">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一</w:t>
      </w:r>
      <w:r>
        <w:rPr>
          <w:rFonts w:ascii="楷体" w:hAnsi="楷体" w:eastAsia="楷体" w:cs="楷体"/>
          <w:b/>
          <w:bCs/>
          <w:kern w:val="0"/>
          <w:sz w:val="32"/>
          <w:szCs w:val="32"/>
        </w:rPr>
        <w:t>）社会保障和就业支出（类）</w:t>
      </w:r>
    </w:p>
    <w:p w14:paraId="274F7630">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社会保障和就业支出（类）决算数为</w:t>
      </w:r>
      <w:r>
        <w:rPr>
          <w:rFonts w:eastAsia="Times New Roman"/>
          <w:kern w:val="0"/>
          <w:sz w:val="32"/>
          <w:szCs w:val="32"/>
          <w:u w:val="single"/>
          <w:lang w:eastAsia="en-US"/>
        </w:rPr>
        <w:t xml:space="preserve"> 124.18</w:t>
      </w:r>
      <w:r>
        <w:rPr>
          <w:rFonts w:ascii="FangSong_GB2312" w:hAnsi="FangSong_GB2312" w:eastAsia="FangSong_GB2312" w:cs="FangSong_GB2312"/>
          <w:kern w:val="0"/>
          <w:sz w:val="32"/>
          <w:szCs w:val="32"/>
        </w:rPr>
        <w:t>万元，与年初预算相比增加（减少）</w:t>
      </w:r>
      <w:r>
        <w:rPr>
          <w:rFonts w:eastAsia="Times New Roman"/>
          <w:kern w:val="0"/>
          <w:sz w:val="32"/>
          <w:szCs w:val="32"/>
          <w:u w:val="single"/>
          <w:lang w:eastAsia="en-US"/>
        </w:rPr>
        <w:t> -52.78</w:t>
      </w:r>
      <w:r>
        <w:rPr>
          <w:rFonts w:ascii="FangSong_GB2312" w:hAnsi="FangSong_GB2312" w:eastAsia="FangSong_GB2312" w:cs="FangSong_GB2312"/>
          <w:kern w:val="0"/>
          <w:sz w:val="32"/>
          <w:szCs w:val="32"/>
        </w:rPr>
        <w:t>万元。其中：</w:t>
      </w:r>
    </w:p>
    <w:p w14:paraId="2EA5D0EE">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．行政事业单位养老支出（款）行政单位离退休（项）。年初预算</w:t>
      </w:r>
      <w:r>
        <w:rPr>
          <w:rFonts w:hint="eastAsia" w:eastAsia="Times New Roman"/>
          <w:kern w:val="0"/>
          <w:sz w:val="32"/>
          <w:szCs w:val="32"/>
          <w:u w:val="single"/>
          <w:lang w:eastAsia="en-US"/>
        </w:rPr>
        <w:t>41</w:t>
      </w:r>
      <w:r>
        <w:rPr>
          <w:rFonts w:hint="eastAsia" w:eastAsia="宋体"/>
          <w:kern w:val="0"/>
          <w:sz w:val="32"/>
          <w:szCs w:val="32"/>
          <w:u w:val="single"/>
          <w:lang w:val="en-US" w:eastAsia="zh-CN"/>
        </w:rPr>
        <w:t>.</w:t>
      </w:r>
      <w:r>
        <w:rPr>
          <w:rFonts w:hint="eastAsia" w:eastAsia="Times New Roman"/>
          <w:kern w:val="0"/>
          <w:sz w:val="32"/>
          <w:szCs w:val="32"/>
          <w:u w:val="single"/>
          <w:lang w:eastAsia="en-US"/>
        </w:rPr>
        <w:t>52</w:t>
      </w:r>
      <w:r>
        <w:rPr>
          <w:rFonts w:ascii="FangSong_GB2312" w:hAnsi="FangSong_GB2312" w:eastAsia="FangSong_GB2312" w:cs="FangSong_GB2312"/>
          <w:kern w:val="0"/>
          <w:sz w:val="32"/>
          <w:szCs w:val="32"/>
        </w:rPr>
        <w:t>万元，支出决算</w:t>
      </w:r>
      <w:r>
        <w:rPr>
          <w:rFonts w:hint="eastAsia" w:eastAsia="Times New Roman"/>
          <w:kern w:val="0"/>
          <w:sz w:val="32"/>
          <w:szCs w:val="32"/>
          <w:u w:val="single"/>
          <w:lang w:eastAsia="en-US"/>
        </w:rPr>
        <w:t xml:space="preserve">25.57 </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61.58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单位人员变动</w:t>
      </w:r>
      <w:r>
        <w:rPr>
          <w:rFonts w:ascii="FangSong_GB2312" w:hAnsi="FangSong_GB2312" w:eastAsia="FangSong_GB2312" w:cs="FangSong_GB2312"/>
          <w:kern w:val="0"/>
          <w:sz w:val="32"/>
          <w:szCs w:val="32"/>
        </w:rPr>
        <w:t>。</w:t>
      </w:r>
    </w:p>
    <w:p w14:paraId="023D6907">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rPr>
        <w:t>．行政事业单位养老支出（款）</w:t>
      </w:r>
      <w:r>
        <w:rPr>
          <w:rFonts w:hint="eastAsia" w:ascii="FangSong_GB2312" w:hAnsi="FangSong_GB2312" w:eastAsia="FangSong_GB2312" w:cs="FangSong_GB2312"/>
          <w:kern w:val="0"/>
          <w:sz w:val="32"/>
          <w:szCs w:val="32"/>
        </w:rPr>
        <w:t>机关事业单位基本养老保险缴费支出</w:t>
      </w:r>
      <w:r>
        <w:rPr>
          <w:rFonts w:ascii="FangSong_GB2312" w:hAnsi="FangSong_GB2312" w:eastAsia="FangSong_GB2312" w:cs="FangSong_GB2312"/>
          <w:kern w:val="0"/>
          <w:sz w:val="32"/>
          <w:szCs w:val="32"/>
        </w:rPr>
        <w:t>（项）。年初预算</w:t>
      </w:r>
      <w:r>
        <w:rPr>
          <w:rFonts w:hint="eastAsia" w:eastAsia="Times New Roman"/>
          <w:kern w:val="0"/>
          <w:sz w:val="32"/>
          <w:szCs w:val="32"/>
          <w:u w:val="single"/>
          <w:lang w:eastAsia="en-US"/>
        </w:rPr>
        <w:t>82</w:t>
      </w:r>
      <w:r>
        <w:rPr>
          <w:rFonts w:hint="eastAsia" w:eastAsia="宋体"/>
          <w:kern w:val="0"/>
          <w:sz w:val="32"/>
          <w:szCs w:val="32"/>
          <w:u w:val="single"/>
          <w:lang w:val="en-US" w:eastAsia="zh-CN"/>
        </w:rPr>
        <w:t>.</w:t>
      </w:r>
      <w:r>
        <w:rPr>
          <w:rFonts w:hint="eastAsia" w:eastAsia="Times New Roman"/>
          <w:kern w:val="0"/>
          <w:sz w:val="32"/>
          <w:szCs w:val="32"/>
          <w:u w:val="single"/>
          <w:lang w:eastAsia="en-US"/>
        </w:rPr>
        <w:t>95</w:t>
      </w:r>
      <w:r>
        <w:rPr>
          <w:rFonts w:ascii="FangSong_GB2312" w:hAnsi="FangSong_GB2312" w:eastAsia="FangSong_GB2312" w:cs="FangSong_GB2312"/>
          <w:kern w:val="0"/>
          <w:sz w:val="32"/>
          <w:szCs w:val="32"/>
        </w:rPr>
        <w:t>万元，支出决算</w:t>
      </w:r>
      <w:r>
        <w:rPr>
          <w:rFonts w:hint="eastAsia" w:eastAsia="Times New Roman"/>
          <w:kern w:val="0"/>
          <w:sz w:val="32"/>
          <w:szCs w:val="32"/>
          <w:u w:val="single"/>
          <w:lang w:eastAsia="en-US"/>
        </w:rPr>
        <w:t xml:space="preserve">67.29 </w:t>
      </w:r>
      <w:r>
        <w:rPr>
          <w:rFonts w:ascii="FangSong_GB2312" w:hAnsi="FangSong_GB2312" w:eastAsia="FangSong_GB2312" w:cs="FangSong_GB2312"/>
          <w:kern w:val="0"/>
          <w:sz w:val="32"/>
          <w:szCs w:val="32"/>
        </w:rPr>
        <w:t>万元，完成年初预算的</w:t>
      </w:r>
      <w:r>
        <w:rPr>
          <w:rFonts w:hint="eastAsia" w:ascii="FangSong_GB2312" w:hAnsi="FangSong_GB2312" w:eastAsia="FangSong_GB2312" w:cs="FangSong_GB2312"/>
          <w:kern w:val="0"/>
          <w:sz w:val="32"/>
          <w:szCs w:val="32"/>
          <w:lang w:val="en-US" w:eastAsia="zh-CN"/>
        </w:rPr>
        <w:t>81.12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单位人员变动</w:t>
      </w:r>
      <w:r>
        <w:rPr>
          <w:rFonts w:ascii="FangSong_GB2312" w:hAnsi="FangSong_GB2312" w:eastAsia="FangSong_GB2312" w:cs="FangSong_GB2312"/>
          <w:kern w:val="0"/>
          <w:sz w:val="32"/>
          <w:szCs w:val="32"/>
        </w:rPr>
        <w:t>。</w:t>
      </w:r>
    </w:p>
    <w:p w14:paraId="1410AEA5">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其他社会保障和就业支出</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其他社会保障和就业支出</w:t>
      </w:r>
      <w:r>
        <w:rPr>
          <w:rFonts w:ascii="FangSong_GB2312" w:hAnsi="FangSong_GB2312" w:eastAsia="FangSong_GB2312" w:cs="FangSong_GB2312"/>
          <w:kern w:val="0"/>
          <w:sz w:val="32"/>
          <w:szCs w:val="32"/>
        </w:rPr>
        <w:t>（项）。年初预算</w:t>
      </w:r>
      <w:r>
        <w:rPr>
          <w:rFonts w:hint="eastAsia" w:eastAsia="宋体"/>
          <w:kern w:val="0"/>
          <w:sz w:val="32"/>
          <w:szCs w:val="32"/>
          <w:u w:val="single"/>
          <w:lang w:val="en-US" w:eastAsia="zh-CN"/>
        </w:rPr>
        <w:t>3.92</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2.32</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59.18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单位人员变动</w:t>
      </w:r>
      <w:r>
        <w:rPr>
          <w:rFonts w:ascii="FangSong_GB2312" w:hAnsi="FangSong_GB2312" w:eastAsia="FangSong_GB2312" w:cs="FangSong_GB2312"/>
          <w:kern w:val="0"/>
          <w:sz w:val="32"/>
          <w:szCs w:val="32"/>
        </w:rPr>
        <w:t>。</w:t>
      </w:r>
    </w:p>
    <w:p w14:paraId="195D8F9B">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二</w:t>
      </w:r>
      <w:r>
        <w:rPr>
          <w:rFonts w:ascii="楷体" w:hAnsi="楷体" w:eastAsia="楷体" w:cs="楷体"/>
          <w:b/>
          <w:bCs/>
          <w:kern w:val="0"/>
          <w:sz w:val="32"/>
          <w:szCs w:val="32"/>
        </w:rPr>
        <w:t>）卫生健康支出（类）</w:t>
      </w:r>
    </w:p>
    <w:p w14:paraId="0B66D3A3">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卫生健康支出（类）决算数为</w:t>
      </w:r>
      <w:r>
        <w:rPr>
          <w:rFonts w:eastAsia="Times New Roman"/>
          <w:kern w:val="0"/>
          <w:sz w:val="32"/>
          <w:szCs w:val="32"/>
          <w:u w:val="single"/>
          <w:lang w:eastAsia="en-US"/>
        </w:rPr>
        <w:t xml:space="preserve"> 9581.47</w:t>
      </w:r>
      <w:r>
        <w:rPr>
          <w:rFonts w:ascii="FangSong_GB2312" w:hAnsi="FangSong_GB2312" w:eastAsia="FangSong_GB2312" w:cs="FangSong_GB2312"/>
          <w:kern w:val="0"/>
          <w:sz w:val="32"/>
          <w:szCs w:val="32"/>
        </w:rPr>
        <w:t>万元，与年初预算相比增加（减少）</w:t>
      </w:r>
      <w:r>
        <w:rPr>
          <w:rFonts w:eastAsia="Times New Roman"/>
          <w:kern w:val="0"/>
          <w:sz w:val="32"/>
          <w:szCs w:val="32"/>
          <w:u w:val="single"/>
          <w:lang w:eastAsia="en-US"/>
        </w:rPr>
        <w:t> -2480.47</w:t>
      </w:r>
      <w:r>
        <w:rPr>
          <w:rFonts w:ascii="FangSong_GB2312" w:hAnsi="FangSong_GB2312" w:eastAsia="FangSong_GB2312" w:cs="FangSong_GB2312"/>
          <w:kern w:val="0"/>
          <w:sz w:val="32"/>
          <w:szCs w:val="32"/>
        </w:rPr>
        <w:t>万元。其中：</w:t>
      </w:r>
    </w:p>
    <w:p w14:paraId="09C57703">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卫生健康管理事务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行政运行</w:t>
      </w:r>
      <w:r>
        <w:rPr>
          <w:rFonts w:ascii="FangSong_GB2312" w:hAnsi="FangSong_GB2312" w:eastAsia="FangSong_GB2312" w:cs="FangSong_GB2312"/>
          <w:kern w:val="0"/>
          <w:sz w:val="32"/>
          <w:szCs w:val="32"/>
        </w:rPr>
        <w:t>（项）。年初预算</w:t>
      </w:r>
      <w:r>
        <w:rPr>
          <w:rFonts w:hint="eastAsia" w:eastAsia="宋体"/>
          <w:kern w:val="0"/>
          <w:sz w:val="32"/>
          <w:szCs w:val="32"/>
          <w:u w:val="single"/>
          <w:lang w:val="en-US" w:eastAsia="zh-CN"/>
        </w:rPr>
        <w:t>251.10</w:t>
      </w:r>
      <w:r>
        <w:rPr>
          <w:rFonts w:ascii="FangSong_GB2312" w:hAnsi="FangSong_GB2312" w:eastAsia="FangSong_GB2312" w:cs="FangSong_GB2312"/>
          <w:kern w:val="0"/>
          <w:sz w:val="32"/>
          <w:szCs w:val="32"/>
        </w:rPr>
        <w:t>万元，支出决算</w:t>
      </w:r>
      <w:r>
        <w:rPr>
          <w:rFonts w:hint="eastAsia" w:eastAsia="Times New Roman"/>
          <w:kern w:val="0"/>
          <w:sz w:val="32"/>
          <w:szCs w:val="32"/>
          <w:u w:val="single"/>
          <w:lang w:eastAsia="en-US"/>
        </w:rPr>
        <w:t xml:space="preserve">205.15 </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81.70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压缩支出</w:t>
      </w:r>
      <w:r>
        <w:rPr>
          <w:rFonts w:ascii="FangSong_GB2312" w:hAnsi="FangSong_GB2312" w:eastAsia="FangSong_GB2312" w:cs="FangSong_GB2312"/>
          <w:kern w:val="0"/>
          <w:sz w:val="32"/>
          <w:szCs w:val="32"/>
        </w:rPr>
        <w:t>。</w:t>
      </w:r>
    </w:p>
    <w:p w14:paraId="3E022749">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卫生健康管理事务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其他卫生健康管理事务支出</w:t>
      </w:r>
      <w:r>
        <w:rPr>
          <w:rFonts w:ascii="FangSong_GB2312" w:hAnsi="FangSong_GB2312" w:eastAsia="FangSong_GB2312" w:cs="FangSong_GB2312"/>
          <w:kern w:val="0"/>
          <w:sz w:val="32"/>
          <w:szCs w:val="32"/>
        </w:rPr>
        <w:t>（项）。年初预算</w:t>
      </w:r>
      <w:r>
        <w:rPr>
          <w:rFonts w:hint="eastAsia" w:eastAsia="宋体"/>
          <w:kern w:val="0"/>
          <w:sz w:val="32"/>
          <w:szCs w:val="32"/>
          <w:u w:val="single"/>
          <w:lang w:val="en-US" w:eastAsia="zh-CN"/>
        </w:rPr>
        <w:t>843.91</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287.67</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34.09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eastAsia="en-US"/>
        </w:rPr>
        <w:t>压缩支出</w:t>
      </w:r>
      <w:r>
        <w:rPr>
          <w:rFonts w:ascii="FangSong_GB2312" w:hAnsi="FangSong_GB2312" w:eastAsia="FangSong_GB2312" w:cs="FangSong_GB2312"/>
          <w:kern w:val="0"/>
          <w:sz w:val="32"/>
          <w:szCs w:val="32"/>
        </w:rPr>
        <w:t>。</w:t>
      </w:r>
    </w:p>
    <w:p w14:paraId="003A9586">
      <w:pPr>
        <w:pStyle w:val="29"/>
        <w:widowControl/>
        <w:spacing w:before="240" w:after="240" w:line="560" w:lineRule="atLeast"/>
        <w:ind w:firstLine="640"/>
        <w:jc w:val="left"/>
        <w:rPr>
          <w:rFonts w:ascii="FangSong_GB2312" w:hAnsi="FangSong_GB2312" w:eastAsia="FangSong_GB2312" w:cs="FangSong_GB2312"/>
          <w:kern w:val="0"/>
          <w:sz w:val="32"/>
          <w:szCs w:val="32"/>
        </w:rPr>
      </w:pPr>
      <w:r>
        <w:rPr>
          <w:rFonts w:eastAsia="Times New Roman"/>
          <w:kern w:val="0"/>
          <w:sz w:val="32"/>
          <w:szCs w:val="32"/>
          <w:lang w:eastAsia="en-US"/>
        </w:rPr>
        <w:t>3</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公立医院</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其他公立医院支出</w:t>
      </w:r>
      <w:r>
        <w:rPr>
          <w:rFonts w:ascii="FangSong_GB2312" w:hAnsi="FangSong_GB2312" w:eastAsia="FangSong_GB2312" w:cs="FangSong_GB2312"/>
          <w:kern w:val="0"/>
          <w:sz w:val="32"/>
          <w:szCs w:val="32"/>
        </w:rPr>
        <w:t>（项）。年初预算</w:t>
      </w:r>
      <w:r>
        <w:rPr>
          <w:rFonts w:hint="eastAsia" w:eastAsia="宋体"/>
          <w:kern w:val="0"/>
          <w:sz w:val="32"/>
          <w:szCs w:val="32"/>
          <w:u w:val="single"/>
          <w:lang w:val="en-US" w:eastAsia="zh-CN"/>
        </w:rPr>
        <w:t>114.3</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100</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87.49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压缩支出</w:t>
      </w:r>
      <w:r>
        <w:rPr>
          <w:rFonts w:ascii="FangSong_GB2312" w:hAnsi="FangSong_GB2312" w:eastAsia="FangSong_GB2312" w:cs="FangSong_GB2312"/>
          <w:kern w:val="0"/>
          <w:sz w:val="32"/>
          <w:szCs w:val="32"/>
        </w:rPr>
        <w:t>。</w:t>
      </w:r>
    </w:p>
    <w:p w14:paraId="387EE3FB">
      <w:pPr>
        <w:pStyle w:val="29"/>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eastAsia="宋体"/>
          <w:kern w:val="0"/>
          <w:sz w:val="32"/>
          <w:szCs w:val="32"/>
          <w:lang w:val="en-US" w:eastAsia="zh-CN"/>
        </w:rPr>
        <w:t>4</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基层医疗卫生机构</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乡镇卫生院</w:t>
      </w:r>
      <w:r>
        <w:rPr>
          <w:rFonts w:ascii="FangSong_GB2312" w:hAnsi="FangSong_GB2312" w:eastAsia="FangSong_GB2312" w:cs="FangSong_GB2312"/>
          <w:kern w:val="0"/>
          <w:sz w:val="32"/>
          <w:szCs w:val="32"/>
        </w:rPr>
        <w:t>（项）。年初预算</w:t>
      </w:r>
      <w:r>
        <w:rPr>
          <w:rFonts w:hint="eastAsia" w:eastAsia="宋体"/>
          <w:kern w:val="0"/>
          <w:sz w:val="32"/>
          <w:szCs w:val="32"/>
          <w:u w:val="single"/>
          <w:lang w:val="en-US" w:eastAsia="zh-CN"/>
        </w:rPr>
        <w:t>159.72</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17.742516</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11.10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压缩支出</w:t>
      </w:r>
      <w:r>
        <w:rPr>
          <w:rFonts w:ascii="FangSong_GB2312" w:hAnsi="FangSong_GB2312" w:eastAsia="FangSong_GB2312" w:cs="FangSong_GB2312"/>
          <w:kern w:val="0"/>
          <w:sz w:val="32"/>
          <w:szCs w:val="32"/>
        </w:rPr>
        <w:t>。</w:t>
      </w:r>
    </w:p>
    <w:p w14:paraId="64389980">
      <w:pPr>
        <w:pStyle w:val="29"/>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kern w:val="0"/>
          <w:sz w:val="32"/>
          <w:szCs w:val="32"/>
          <w:lang w:val="en-US" w:eastAsia="zh-CN"/>
        </w:rPr>
        <w:t>5</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公共卫生</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基本公共卫生服务</w:t>
      </w:r>
      <w:r>
        <w:rPr>
          <w:rFonts w:ascii="FangSong_GB2312" w:hAnsi="FangSong_GB2312" w:eastAsia="FangSong_GB2312" w:cs="FangSong_GB2312"/>
          <w:kern w:val="0"/>
          <w:sz w:val="32"/>
          <w:szCs w:val="32"/>
        </w:rPr>
        <w:t>（项）。年初预算</w:t>
      </w:r>
      <w:r>
        <w:rPr>
          <w:rFonts w:hint="eastAsia" w:eastAsia="宋体"/>
          <w:kern w:val="0"/>
          <w:sz w:val="32"/>
          <w:szCs w:val="32"/>
          <w:u w:val="single"/>
          <w:lang w:val="en-US" w:eastAsia="zh-CN"/>
        </w:rPr>
        <w:t>6116.2</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519</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8.49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后续指标调剂给基层各单位</w:t>
      </w:r>
      <w:r>
        <w:rPr>
          <w:rFonts w:ascii="FangSong_GB2312" w:hAnsi="FangSong_GB2312" w:eastAsia="FangSong_GB2312" w:cs="FangSong_GB2312"/>
          <w:kern w:val="0"/>
          <w:sz w:val="32"/>
          <w:szCs w:val="32"/>
        </w:rPr>
        <w:t>。</w:t>
      </w:r>
    </w:p>
    <w:p w14:paraId="7B2753FC">
      <w:pPr>
        <w:pStyle w:val="29"/>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kern w:val="0"/>
          <w:sz w:val="32"/>
          <w:szCs w:val="32"/>
          <w:lang w:val="en-US" w:eastAsia="zh-CN"/>
        </w:rPr>
        <w:t>6</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公共卫生</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重大公共卫生服务</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11</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0</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压缩支出</w:t>
      </w:r>
      <w:r>
        <w:rPr>
          <w:rFonts w:ascii="FangSong_GB2312" w:hAnsi="FangSong_GB2312" w:eastAsia="FangSong_GB2312" w:cs="FangSong_GB2312"/>
          <w:kern w:val="0"/>
          <w:sz w:val="32"/>
          <w:szCs w:val="32"/>
        </w:rPr>
        <w:t>。</w:t>
      </w:r>
    </w:p>
    <w:p w14:paraId="74069F2D">
      <w:pPr>
        <w:pStyle w:val="29"/>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kern w:val="0"/>
          <w:sz w:val="32"/>
          <w:szCs w:val="32"/>
          <w:lang w:val="en-US" w:eastAsia="zh-CN"/>
        </w:rPr>
        <w:t>7</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公共卫生</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其他公共卫生支出</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15.5025</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19.8</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127.72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2025年追加指标</w:t>
      </w:r>
      <w:r>
        <w:rPr>
          <w:rFonts w:ascii="FangSong_GB2312" w:hAnsi="FangSong_GB2312" w:eastAsia="FangSong_GB2312" w:cs="FangSong_GB2312"/>
          <w:kern w:val="0"/>
          <w:sz w:val="32"/>
          <w:szCs w:val="32"/>
        </w:rPr>
        <w:t>。</w:t>
      </w:r>
    </w:p>
    <w:p w14:paraId="636F28F9">
      <w:pPr>
        <w:pStyle w:val="29"/>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kern w:val="0"/>
          <w:sz w:val="32"/>
          <w:szCs w:val="32"/>
          <w:lang w:val="en-US" w:eastAsia="zh-CN"/>
        </w:rPr>
        <w:t>8</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计划生育事务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计划生育服务</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2984.65</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 xml:space="preserve">3454.53 </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119.09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2025年追加指标</w:t>
      </w:r>
      <w:r>
        <w:rPr>
          <w:rFonts w:ascii="FangSong_GB2312" w:hAnsi="FangSong_GB2312" w:eastAsia="FangSong_GB2312" w:cs="FangSong_GB2312"/>
          <w:kern w:val="0"/>
          <w:sz w:val="32"/>
          <w:szCs w:val="32"/>
        </w:rPr>
        <w:t>。</w:t>
      </w:r>
    </w:p>
    <w:p w14:paraId="59C8E151">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kern w:val="0"/>
          <w:sz w:val="32"/>
          <w:szCs w:val="32"/>
          <w:lang w:val="en-US" w:eastAsia="zh-CN"/>
        </w:rPr>
        <w:t>9</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计划生育事务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其他计划生育事务支出</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507.86</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 xml:space="preserve">446.59 </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87.94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压缩支出</w:t>
      </w:r>
    </w:p>
    <w:p w14:paraId="57B907DA">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kern w:val="0"/>
          <w:sz w:val="32"/>
          <w:szCs w:val="32"/>
          <w:lang w:val="en-US" w:eastAsia="zh-CN"/>
        </w:rPr>
        <w:t>10</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行政事业单位医疗</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行政单位医疗</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39.2985</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35.58</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90.54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压缩支出</w:t>
      </w:r>
    </w:p>
    <w:p w14:paraId="3C9A142A">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kern w:val="0"/>
          <w:sz w:val="32"/>
          <w:szCs w:val="32"/>
          <w:lang w:val="en-US" w:eastAsia="zh-CN"/>
        </w:rPr>
        <w:t>11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托育服务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托育机构</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9.1</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0.59</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6.48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据实支出</w:t>
      </w:r>
    </w:p>
    <w:p w14:paraId="2F960ED8">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三</w:t>
      </w:r>
      <w:r>
        <w:rPr>
          <w:rFonts w:ascii="楷体" w:hAnsi="楷体" w:eastAsia="楷体" w:cs="楷体"/>
          <w:b/>
          <w:bCs/>
          <w:kern w:val="0"/>
          <w:sz w:val="32"/>
          <w:szCs w:val="32"/>
        </w:rPr>
        <w:t>）</w:t>
      </w:r>
      <w:r>
        <w:rPr>
          <w:rFonts w:hint="eastAsia" w:ascii="楷体" w:hAnsi="楷体" w:eastAsia="楷体" w:cs="楷体"/>
          <w:b/>
          <w:bCs/>
          <w:kern w:val="0"/>
          <w:sz w:val="32"/>
          <w:szCs w:val="32"/>
        </w:rPr>
        <w:t>住房保障支出</w:t>
      </w:r>
      <w:r>
        <w:rPr>
          <w:rFonts w:ascii="楷体" w:hAnsi="楷体" w:eastAsia="楷体" w:cs="楷体"/>
          <w:b/>
          <w:bCs/>
          <w:kern w:val="0"/>
          <w:sz w:val="32"/>
          <w:szCs w:val="32"/>
        </w:rPr>
        <w:t>（类）</w:t>
      </w:r>
    </w:p>
    <w:p w14:paraId="7FEAA40A">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kern w:val="0"/>
          <w:sz w:val="32"/>
          <w:szCs w:val="32"/>
          <w:lang w:val="en-US" w:eastAsia="zh-CN"/>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住房改革支出</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住房公积金</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67.64</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59.33</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87.71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压缩支出</w:t>
      </w:r>
    </w:p>
    <w:p w14:paraId="50993718">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14:paraId="6946B2E0">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年度一般公共预算财政拨款基本支出决算</w:t>
      </w:r>
      <w:r>
        <w:rPr>
          <w:rFonts w:eastAsia="Times New Roman"/>
          <w:kern w:val="0"/>
          <w:sz w:val="32"/>
          <w:szCs w:val="32"/>
          <w:u w:val="single"/>
          <w:lang w:eastAsia="en-US"/>
        </w:rPr>
        <w:t xml:space="preserve"> 786.37</w:t>
      </w:r>
      <w:r>
        <w:rPr>
          <w:rFonts w:ascii="FangSong_GB2312" w:hAnsi="FangSong_GB2312" w:eastAsia="FangSong_GB2312" w:cs="FangSong_GB2312"/>
          <w:kern w:val="0"/>
          <w:sz w:val="32"/>
          <w:szCs w:val="32"/>
        </w:rPr>
        <w:t>万元，其中：</w:t>
      </w:r>
    </w:p>
    <w:p w14:paraId="616C36B9">
      <w:pPr>
        <w:pStyle w:val="29"/>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rPr>
        <w:t>（一）人员经费</w:t>
      </w:r>
      <w:r>
        <w:rPr>
          <w:rFonts w:eastAsia="Times New Roman"/>
          <w:kern w:val="0"/>
          <w:sz w:val="32"/>
          <w:szCs w:val="32"/>
          <w:u w:val="single"/>
          <w:lang w:eastAsia="en-US"/>
        </w:rPr>
        <w:t xml:space="preserve"> 770.23</w:t>
      </w:r>
      <w:r>
        <w:rPr>
          <w:rFonts w:ascii="楷体" w:hAnsi="楷体" w:eastAsia="楷体" w:cs="楷体"/>
          <w:b/>
          <w:bCs/>
          <w:kern w:val="0"/>
          <w:sz w:val="32"/>
          <w:szCs w:val="32"/>
        </w:rPr>
        <w:t>万元。</w:t>
      </w:r>
      <w:r>
        <w:rPr>
          <w:rFonts w:ascii="FangSong_GB2312" w:hAnsi="FangSong_GB2312" w:eastAsia="FangSong_GB2312" w:cs="FangSong_GB2312"/>
          <w:kern w:val="0"/>
          <w:sz w:val="32"/>
          <w:szCs w:val="32"/>
        </w:rPr>
        <w:t>主要包括：基本工资、津贴补贴、奖金、伙食补助费、绩效工资、机关事业单位基本养老保险缴费、职业年金缴费、职工基本医疗保险缴费、公务员医疗补助缴费、住房公积金、其他工资福利支出、离休费、退休费、抚恤金、生活补助、医疗费补助、奖励金、其他对个人和家庭的补助支出等。</w:t>
      </w:r>
    </w:p>
    <w:p w14:paraId="21389E3B">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single"/>
          <w:lang w:eastAsia="en-US"/>
        </w:rPr>
        <w:t xml:space="preserve"> 16.14</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印刷费、手续费、水费、电费、邮电费、取暖费、物业管理费、差旅费、维修（护）费、租赁费、会议费、培训费、公务接待费、专用材料费、劳务费、委托业务费、工会经费、福利费、公务用车运行维护费、其他交通费用、其他商品和服务支出、办公设备购置、专用设备购置、信息网络及软件购置更新、其他资本性支出等。</w:t>
      </w:r>
    </w:p>
    <w:p w14:paraId="0D05CA2C">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14:paraId="412A93AC">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single"/>
          <w:lang w:eastAsia="en-US"/>
        </w:rPr>
        <w:t xml:space="preserve"> 8978.61</w:t>
      </w:r>
      <w:r>
        <w:rPr>
          <w:rFonts w:ascii="FangSong_GB2312" w:hAnsi="FangSong_GB2312" w:eastAsia="FangSong_GB2312" w:cs="FangSong_GB2312"/>
          <w:kern w:val="0"/>
          <w:sz w:val="32"/>
          <w:szCs w:val="32"/>
        </w:rPr>
        <w:t>万元，其中：</w:t>
      </w:r>
    </w:p>
    <w:p w14:paraId="7ECBBE71">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（一）工资福利支出</w:t>
      </w:r>
      <w:r>
        <w:rPr>
          <w:rFonts w:eastAsia="Times New Roman"/>
          <w:kern w:val="0"/>
          <w:sz w:val="32"/>
          <w:szCs w:val="32"/>
          <w:u w:val="single"/>
          <w:lang w:eastAsia="en-US"/>
        </w:rPr>
        <w:t xml:space="preserve"> 0</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基本工资、津贴补贴、奖金、伙食补助费、绩效工资、机关事业单位基本养老保险缴费、职业年金缴费、职工基本医疗保险缴费、公务员医疗补助缴费、其他社会保障缴费、住房公积金、医疗费、其他工资福利支出等。</w:t>
      </w:r>
    </w:p>
    <w:p w14:paraId="5890E199">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（二）商品和服务支出</w:t>
      </w:r>
      <w:r>
        <w:rPr>
          <w:rFonts w:eastAsia="Times New Roman"/>
          <w:kern w:val="0"/>
          <w:sz w:val="32"/>
          <w:szCs w:val="32"/>
          <w:u w:val="single"/>
          <w:lang w:eastAsia="en-US"/>
        </w:rPr>
        <w:t xml:space="preserve"> 1000.06</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印刷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等。</w:t>
      </w:r>
    </w:p>
    <w:p w14:paraId="360312B0">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（三）资本性支出</w:t>
      </w:r>
      <w:r>
        <w:rPr>
          <w:rFonts w:eastAsia="Times New Roman"/>
          <w:kern w:val="0"/>
          <w:sz w:val="32"/>
          <w:szCs w:val="32"/>
          <w:u w:val="single"/>
          <w:lang w:eastAsia="en-US"/>
        </w:rPr>
        <w:t xml:space="preserve"> 194.26</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房屋建筑物构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w:t>
      </w:r>
    </w:p>
    <w:p w14:paraId="663E1910">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14:paraId="222052F6">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14:paraId="32A40DFC">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年度财政拨款“三公”经费全年预算</w:t>
      </w:r>
      <w:r>
        <w:rPr>
          <w:rFonts w:eastAsia="Times New Roman"/>
          <w:kern w:val="0"/>
          <w:sz w:val="32"/>
          <w:szCs w:val="32"/>
          <w:u w:val="single"/>
          <w:lang w:eastAsia="en-US"/>
        </w:rPr>
        <w:t xml:space="preserve"> 12.81</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6.28</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49.05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。其中：因公出国（境）费全年预算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；公务用车购置及运行维护费全年预算</w:t>
      </w:r>
      <w:r>
        <w:rPr>
          <w:rFonts w:eastAsia="Times New Roman"/>
          <w:kern w:val="0"/>
          <w:sz w:val="32"/>
          <w:szCs w:val="32"/>
          <w:u w:val="single"/>
          <w:lang w:eastAsia="en-US"/>
        </w:rPr>
        <w:t xml:space="preserve"> 11.11</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6.28</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56.56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；公务接待费全年预算</w:t>
      </w:r>
      <w:r>
        <w:rPr>
          <w:rFonts w:eastAsia="Times New Roman"/>
          <w:kern w:val="0"/>
          <w:sz w:val="32"/>
          <w:szCs w:val="32"/>
          <w:u w:val="single"/>
          <w:lang w:eastAsia="en-US"/>
        </w:rPr>
        <w:t xml:space="preserve"> 1.70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年度一般公共预算财政拨款“三公”经费全年预算</w:t>
      </w:r>
      <w:r>
        <w:rPr>
          <w:rFonts w:eastAsia="Times New Roman"/>
          <w:kern w:val="0"/>
          <w:sz w:val="32"/>
          <w:szCs w:val="32"/>
          <w:u w:val="single"/>
          <w:lang w:eastAsia="en-US"/>
        </w:rPr>
        <w:t xml:space="preserve"> 12.81</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6.28</w:t>
      </w:r>
      <w:r>
        <w:rPr>
          <w:rFonts w:ascii="FangSong_GB2312" w:hAnsi="FangSong_GB2312" w:eastAsia="FangSong_GB2312" w:cs="FangSong_GB2312"/>
          <w:kern w:val="0"/>
          <w:sz w:val="32"/>
          <w:szCs w:val="32"/>
        </w:rPr>
        <w:t>万元，与预算差异原因</w:t>
      </w:r>
      <w:r>
        <w:rPr>
          <w:rFonts w:hint="eastAsia" w:ascii="FangSong_GB2312" w:hAnsi="FangSong_GB2312" w:eastAsia="FangSong_GB2312" w:cs="FangSong_GB2312"/>
          <w:kern w:val="0"/>
          <w:sz w:val="32"/>
          <w:szCs w:val="32"/>
          <w:lang w:val="en-US" w:eastAsia="zh-CN"/>
        </w:rPr>
        <w:t>2025年压缩支出</w:t>
      </w:r>
      <w:r>
        <w:rPr>
          <w:rFonts w:ascii="FangSong_GB2312" w:hAnsi="FangSong_GB2312" w:eastAsia="FangSong_GB2312" w:cs="FangSong_GB2312"/>
          <w:kern w:val="0"/>
          <w:sz w:val="32"/>
          <w:szCs w:val="32"/>
        </w:rPr>
        <w:t>。</w:t>
      </w:r>
    </w:p>
    <w:p w14:paraId="567DB177">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14:paraId="6825F4FA">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年度财政拨款“三公”经费支出</w:t>
      </w:r>
      <w:r>
        <w:rPr>
          <w:rFonts w:eastAsia="Times New Roman"/>
          <w:kern w:val="0"/>
          <w:sz w:val="32"/>
          <w:szCs w:val="32"/>
          <w:u w:val="single"/>
          <w:lang w:eastAsia="en-US"/>
        </w:rPr>
        <w:t xml:space="preserve"> 6.28</w:t>
      </w:r>
      <w:r>
        <w:rPr>
          <w:rFonts w:ascii="FangSong_GB2312" w:hAnsi="FangSong_GB2312" w:eastAsia="FangSong_GB2312" w:cs="FangSong_GB2312"/>
          <w:kern w:val="0"/>
          <w:sz w:val="32"/>
          <w:szCs w:val="32"/>
        </w:rPr>
        <w:t>万元。因公出国（境）费支出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；公务用车购置及运行维护费支出</w:t>
      </w:r>
      <w:r>
        <w:rPr>
          <w:rFonts w:eastAsia="Times New Roman"/>
          <w:kern w:val="0"/>
          <w:sz w:val="32"/>
          <w:szCs w:val="32"/>
          <w:u w:val="single"/>
          <w:lang w:eastAsia="en-US"/>
        </w:rPr>
        <w:t xml:space="preserve"> 6.28</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178D440B">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1</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万元，全年出国（境）团组</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个，累计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w:t>
      </w:r>
    </w:p>
    <w:p w14:paraId="60517292">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2</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公务用车购置及运行维护费支出</w:t>
      </w:r>
      <w:r>
        <w:rPr>
          <w:rFonts w:eastAsia="Times New Roman"/>
          <w:kern w:val="0"/>
          <w:sz w:val="32"/>
          <w:szCs w:val="32"/>
          <w:u w:val="single"/>
          <w:lang w:eastAsia="en-US"/>
        </w:rPr>
        <w:t xml:space="preserve"> 6.28</w:t>
      </w:r>
      <w:r>
        <w:rPr>
          <w:rFonts w:ascii="FangSong_GB2312" w:hAnsi="FangSong_GB2312" w:eastAsia="FangSong_GB2312" w:cs="FangSong_GB2312"/>
          <w:kern w:val="0"/>
          <w:sz w:val="32"/>
          <w:szCs w:val="32"/>
        </w:rPr>
        <w:t>万元。其中：</w:t>
      </w:r>
    </w:p>
    <w:p w14:paraId="76DA5E3F">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1</w:t>
      </w:r>
      <w:r>
        <w:rPr>
          <w:rFonts w:ascii="FangSong_GB2312" w:hAnsi="FangSong_GB2312" w:eastAsia="FangSong_GB2312" w:cs="FangSong_GB2312"/>
          <w:b/>
          <w:bCs/>
          <w:kern w:val="0"/>
          <w:sz w:val="32"/>
          <w:szCs w:val="32"/>
        </w:rPr>
        <w:t>）公务用车购置支出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万元。本年度使用财政拨款购置公务用车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。与上年决算相比，增加（减少）</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w:t>
      </w:r>
    </w:p>
    <w:p w14:paraId="7F1FAA9D">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2</w:t>
      </w:r>
      <w:r>
        <w:rPr>
          <w:rFonts w:ascii="FangSong_GB2312" w:hAnsi="FangSong_GB2312" w:eastAsia="FangSong_GB2312" w:cs="FangSong_GB2312"/>
          <w:b/>
          <w:bCs/>
          <w:kern w:val="0"/>
          <w:sz w:val="32"/>
          <w:szCs w:val="32"/>
        </w:rPr>
        <w:t>）公务用车运行维护费支出</w:t>
      </w:r>
      <w:r>
        <w:rPr>
          <w:rFonts w:eastAsia="Times New Roman"/>
          <w:kern w:val="0"/>
          <w:sz w:val="32"/>
          <w:szCs w:val="32"/>
          <w:u w:val="single"/>
          <w:lang w:eastAsia="en-US"/>
        </w:rPr>
        <w:t xml:space="preserve"> 6.28</w:t>
      </w:r>
      <w:r>
        <w:rPr>
          <w:rFonts w:ascii="FangSong_GB2312" w:hAnsi="FangSong_GB2312" w:eastAsia="FangSong_GB2312" w:cs="FangSong_GB2312"/>
          <w:kern w:val="0"/>
          <w:sz w:val="32"/>
          <w:szCs w:val="32"/>
        </w:rPr>
        <w:t>万元。公务用车运行维护费主要用于按规定保留的公务用车的燃料费、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维修费、过桥过路费、保险费、安全奖励费用等支出。截至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日，使用财政拨款开支的公务用车保有量为</w:t>
      </w:r>
      <w:r>
        <w:rPr>
          <w:rFonts w:eastAsia="Times New Roman"/>
          <w:kern w:val="0"/>
          <w:sz w:val="32"/>
          <w:szCs w:val="32"/>
          <w:u w:val="single"/>
          <w:lang w:eastAsia="en-US"/>
        </w:rPr>
        <w:t xml:space="preserve">1 </w:t>
      </w:r>
      <w:r>
        <w:rPr>
          <w:rFonts w:ascii="FangSong_GB2312" w:hAnsi="FangSong_GB2312" w:eastAsia="FangSong_GB2312" w:cs="FangSong_GB2312"/>
          <w:kern w:val="0"/>
          <w:sz w:val="32"/>
          <w:szCs w:val="32"/>
        </w:rPr>
        <w:t>辆。与上年决算相比，增加（减少）</w:t>
      </w:r>
      <w:r>
        <w:rPr>
          <w:rFonts w:eastAsia="Times New Roman"/>
          <w:kern w:val="0"/>
          <w:sz w:val="32"/>
          <w:szCs w:val="32"/>
          <w:u w:val="single"/>
          <w:lang w:eastAsia="en-US"/>
        </w:rPr>
        <w:t xml:space="preserve"> 3.22</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105.43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拨付部分以前年度公车维修费用</w:t>
      </w:r>
      <w:r>
        <w:rPr>
          <w:rFonts w:ascii="FangSong_GB2312" w:hAnsi="FangSong_GB2312" w:eastAsia="FangSong_GB2312" w:cs="FangSong_GB2312"/>
          <w:kern w:val="0"/>
          <w:sz w:val="32"/>
          <w:szCs w:val="32"/>
        </w:rPr>
        <w:t>。</w:t>
      </w:r>
    </w:p>
    <w:p w14:paraId="3723B76E">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3</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万元。其中：国内公务接待支出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；国（境）外公务接待支出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w:t>
      </w:r>
    </w:p>
    <w:p w14:paraId="3101FC2F">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14:paraId="630717DC">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w:t>
      </w:r>
      <w:r>
        <w:rPr>
          <w:rFonts w:eastAsia="Times New Roman"/>
          <w:kern w:val="0"/>
          <w:sz w:val="32"/>
          <w:szCs w:val="32"/>
          <w:lang w:eastAsia="en-US"/>
        </w:rPr>
        <w:t>2025</w:t>
      </w:r>
      <w:r>
        <w:rPr>
          <w:rFonts w:ascii="FangSong_GB2312" w:hAnsi="FangSong_GB2312" w:eastAsia="FangSong_GB2312" w:cs="FangSong_GB2312"/>
          <w:kern w:val="0"/>
          <w:sz w:val="32"/>
          <w:szCs w:val="32"/>
        </w:rPr>
        <w:t>年度政府性基金预算财政拨款支出决算</w:t>
      </w:r>
      <w:r>
        <w:rPr>
          <w:rFonts w:eastAsia="Times New Roman"/>
          <w:kern w:val="0"/>
          <w:sz w:val="32"/>
          <w:szCs w:val="32"/>
          <w:u w:val="single"/>
          <w:lang w:eastAsia="en-US"/>
        </w:rPr>
        <w:t xml:space="preserve"> 170.15</w:t>
      </w:r>
      <w:r>
        <w:rPr>
          <w:rFonts w:ascii="FangSong_GB2312" w:hAnsi="FangSong_GB2312" w:eastAsia="FangSong_GB2312" w:cs="FangSong_GB2312"/>
          <w:kern w:val="0"/>
          <w:sz w:val="32"/>
          <w:szCs w:val="32"/>
        </w:rPr>
        <w:t>万元。与上年决算相比，增加（减少）</w:t>
      </w:r>
      <w:r>
        <w:rPr>
          <w:rFonts w:eastAsia="Times New Roman"/>
          <w:kern w:val="0"/>
          <w:sz w:val="32"/>
          <w:szCs w:val="32"/>
          <w:u w:val="single"/>
          <w:lang w:eastAsia="en-US"/>
        </w:rPr>
        <w:t xml:space="preserve"> 170.15</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cs="Times New Roman"/>
          <w:kern w:val="0"/>
          <w:sz w:val="32"/>
          <w:szCs w:val="32"/>
          <w:lang w:val="en-US" w:eastAsia="zh-CN"/>
        </w:rPr>
        <w:t>2025年新增支出</w:t>
      </w:r>
      <w:r>
        <w:rPr>
          <w:rFonts w:ascii="FangSong_GB2312" w:hAnsi="FangSong_GB2312" w:eastAsia="FangSong_GB2312" w:cs="FangSong_GB2312"/>
          <w:kern w:val="0"/>
          <w:sz w:val="32"/>
          <w:szCs w:val="32"/>
        </w:rPr>
        <w:t>。其中：</w:t>
      </w:r>
    </w:p>
    <w:p w14:paraId="6DE126E1">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w:t>
      </w:r>
      <w:r>
        <w:rPr>
          <w:rFonts w:hint="eastAsia" w:ascii="FangSong_GB2312" w:hAnsi="FangSong_GB2312" w:eastAsia="FangSong_GB2312" w:cs="FangSong_GB2312"/>
          <w:kern w:val="0"/>
          <w:sz w:val="32"/>
          <w:szCs w:val="32"/>
        </w:rPr>
        <w:t>其他支出</w:t>
      </w:r>
      <w:r>
        <w:rPr>
          <w:rFonts w:ascii="FangSong_GB2312" w:hAnsi="FangSong_GB2312" w:eastAsia="FangSong_GB2312" w:cs="FangSong_GB2312"/>
          <w:kern w:val="0"/>
          <w:sz w:val="32"/>
          <w:szCs w:val="32"/>
        </w:rPr>
        <w:t>（类）</w:t>
      </w:r>
      <w:r>
        <w:rPr>
          <w:rFonts w:hint="eastAsia" w:ascii="FangSong_GB2312" w:hAnsi="FangSong_GB2312" w:eastAsia="FangSong_GB2312" w:cs="FangSong_GB2312"/>
          <w:kern w:val="0"/>
          <w:sz w:val="32"/>
          <w:szCs w:val="32"/>
        </w:rPr>
        <w:t>其他政府性基金及对应专项债务收入安排的支出</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其他政府性基金债务收入安排的支出</w:t>
      </w:r>
      <w:r>
        <w:rPr>
          <w:rFonts w:ascii="FangSong_GB2312" w:hAnsi="FangSong_GB2312" w:eastAsia="FangSong_GB2312" w:cs="FangSong_GB2312"/>
          <w:kern w:val="0"/>
          <w:sz w:val="32"/>
          <w:szCs w:val="32"/>
        </w:rPr>
        <w:t>（项）支出</w:t>
      </w:r>
      <w:r>
        <w:rPr>
          <w:rFonts w:eastAsia="Times New Roman"/>
          <w:kern w:val="0"/>
          <w:sz w:val="32"/>
          <w:szCs w:val="32"/>
          <w:u w:val="single"/>
          <w:lang w:eastAsia="en-US"/>
        </w:rPr>
        <w:t>170.15</w:t>
      </w:r>
      <w:r>
        <w:rPr>
          <w:rFonts w:ascii="FangSong_GB2312" w:hAnsi="FangSong_GB2312" w:eastAsia="FangSong_GB2312" w:cs="FangSong_GB2312"/>
          <w:kern w:val="0"/>
          <w:sz w:val="32"/>
          <w:szCs w:val="32"/>
        </w:rPr>
        <w:t>万元，主要用于</w:t>
      </w:r>
      <w:r>
        <w:rPr>
          <w:rFonts w:hint="eastAsia" w:ascii="FangSong_GB2312" w:hAnsi="FangSong_GB2312" w:eastAsia="FangSong_GB2312" w:cs="FangSong_GB2312"/>
          <w:kern w:val="0"/>
          <w:sz w:val="32"/>
          <w:szCs w:val="32"/>
          <w:lang w:eastAsia="en-US"/>
        </w:rPr>
        <w:t>松山卫健委截止2024年6月30日拖欠企业账款项目</w:t>
      </w:r>
      <w:r>
        <w:rPr>
          <w:rFonts w:ascii="FangSong_GB2312" w:hAnsi="FangSong_GB2312" w:eastAsia="FangSong_GB2312" w:cs="FangSong_GB2312"/>
          <w:kern w:val="0"/>
          <w:sz w:val="32"/>
          <w:szCs w:val="32"/>
        </w:rPr>
        <w:t>。</w:t>
      </w:r>
    </w:p>
    <w:p w14:paraId="1F0B7C12">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14:paraId="7D0BA79D">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w:t>
      </w:r>
    </w:p>
    <w:p w14:paraId="4CA18FEE">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14:paraId="63D3F0D2">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赤峰市松山区卫生健康委员会(本级） </w:t>
      </w:r>
      <w:r>
        <w:rPr>
          <w:rFonts w:eastAsia="Times New Roman"/>
          <w:kern w:val="0"/>
          <w:sz w:val="32"/>
          <w:szCs w:val="32"/>
          <w:lang w:eastAsia="en-US"/>
        </w:rPr>
        <w:t>2025</w:t>
      </w:r>
      <w:r>
        <w:rPr>
          <w:rFonts w:ascii="FangSong_GB2312" w:hAnsi="FangSong_GB2312" w:eastAsia="FangSong_GB2312" w:cs="FangSong_GB2312"/>
          <w:kern w:val="0"/>
          <w:sz w:val="32"/>
          <w:szCs w:val="32"/>
        </w:rPr>
        <w:t>年度公用经费支出决算</w:t>
      </w:r>
      <w:r>
        <w:rPr>
          <w:rFonts w:eastAsia="Times New Roman"/>
          <w:kern w:val="0"/>
          <w:sz w:val="32"/>
          <w:szCs w:val="32"/>
          <w:u w:val="single"/>
          <w:lang w:eastAsia="en-US"/>
        </w:rPr>
        <w:t xml:space="preserve"> 16.14</w:t>
      </w:r>
      <w:r>
        <w:rPr>
          <w:rFonts w:ascii="FangSong_GB2312" w:hAnsi="FangSong_GB2312" w:eastAsia="FangSong_GB2312" w:cs="FangSong_GB2312"/>
          <w:kern w:val="0"/>
          <w:sz w:val="32"/>
          <w:szCs w:val="32"/>
        </w:rPr>
        <w:t>万元，与上年决算相比，增加（减少）</w:t>
      </w:r>
      <w:r>
        <w:rPr>
          <w:rFonts w:eastAsia="Times New Roman"/>
          <w:kern w:val="0"/>
          <w:sz w:val="32"/>
          <w:szCs w:val="32"/>
          <w:u w:val="single"/>
          <w:lang w:eastAsia="en-US"/>
        </w:rPr>
        <w:t xml:space="preserve"> -23.00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-58.76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2025年零基预算压缩支出</w:t>
      </w:r>
      <w:r>
        <w:rPr>
          <w:rFonts w:ascii="FangSong_GB2312" w:hAnsi="FangSong_GB2312" w:eastAsia="FangSong_GB2312" w:cs="FangSong_GB2312"/>
          <w:kern w:val="0"/>
          <w:sz w:val="32"/>
          <w:szCs w:val="32"/>
        </w:rPr>
        <w:t>。其中，机关运行经费支出决算</w:t>
      </w:r>
      <w:r>
        <w:rPr>
          <w:rFonts w:eastAsia="Times New Roman"/>
          <w:kern w:val="0"/>
          <w:sz w:val="32"/>
          <w:szCs w:val="32"/>
          <w:u w:val="single"/>
          <w:lang w:eastAsia="en-US"/>
        </w:rPr>
        <w:t xml:space="preserve"> 16.14</w:t>
      </w:r>
      <w:r>
        <w:rPr>
          <w:rFonts w:ascii="FangSong_GB2312" w:hAnsi="FangSong_GB2312" w:eastAsia="FangSong_GB2312" w:cs="FangSong_GB2312"/>
          <w:kern w:val="0"/>
          <w:sz w:val="32"/>
          <w:szCs w:val="32"/>
        </w:rPr>
        <w:t>万元。比上年决算相比，增加（减少）</w:t>
      </w:r>
      <w:r>
        <w:rPr>
          <w:rFonts w:eastAsia="Times New Roman"/>
          <w:kern w:val="0"/>
          <w:sz w:val="32"/>
          <w:szCs w:val="32"/>
          <w:u w:val="single"/>
          <w:lang w:eastAsia="en-US"/>
        </w:rPr>
        <w:t xml:space="preserve"> -23.00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-58.76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2025年零基预算压缩支出</w:t>
      </w:r>
      <w:r>
        <w:rPr>
          <w:rFonts w:ascii="FangSong_GB2312" w:hAnsi="FangSong_GB2312" w:eastAsia="FangSong_GB2312" w:cs="FangSong_GB2312"/>
          <w:kern w:val="0"/>
          <w:sz w:val="32"/>
          <w:szCs w:val="32"/>
        </w:rPr>
        <w:t>。</w:t>
      </w:r>
    </w:p>
    <w:p w14:paraId="6F41633C">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14:paraId="2736BE68">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w:t>
      </w:r>
      <w:r>
        <w:rPr>
          <w:rFonts w:eastAsia="Times New Roman"/>
          <w:kern w:val="0"/>
          <w:sz w:val="32"/>
          <w:szCs w:val="32"/>
          <w:lang w:eastAsia="en-US"/>
        </w:rPr>
        <w:t>2025</w:t>
      </w:r>
      <w:r>
        <w:rPr>
          <w:rFonts w:ascii="FangSong_GB2312" w:hAnsi="FangSong_GB2312" w:eastAsia="FangSong_GB2312" w:cs="FangSong_GB2312"/>
          <w:kern w:val="0"/>
          <w:sz w:val="32"/>
          <w:szCs w:val="32"/>
        </w:rPr>
        <w:t>年度政府采购支出总额</w:t>
      </w:r>
      <w:r>
        <w:rPr>
          <w:rFonts w:eastAsia="Times New Roman"/>
          <w:kern w:val="0"/>
          <w:sz w:val="32"/>
          <w:szCs w:val="32"/>
          <w:u w:val="single"/>
          <w:lang w:eastAsia="en-US"/>
        </w:rPr>
        <w:t xml:space="preserve"> 29.57</w:t>
      </w:r>
      <w:r>
        <w:rPr>
          <w:rFonts w:ascii="FangSong_GB2312" w:hAnsi="FangSong_GB2312" w:eastAsia="FangSong_GB2312" w:cs="FangSong_GB2312"/>
          <w:kern w:val="0"/>
          <w:sz w:val="32"/>
          <w:szCs w:val="32"/>
        </w:rPr>
        <w:t>万元，其中：政府采购货物支出</w:t>
      </w:r>
      <w:r>
        <w:rPr>
          <w:rFonts w:eastAsia="Times New Roman"/>
          <w:kern w:val="0"/>
          <w:sz w:val="32"/>
          <w:szCs w:val="32"/>
          <w:u w:val="single"/>
          <w:lang w:eastAsia="en-US"/>
        </w:rPr>
        <w:t xml:space="preserve"> 18.30</w:t>
      </w:r>
      <w:r>
        <w:rPr>
          <w:rFonts w:ascii="FangSong_GB2312" w:hAnsi="FangSong_GB2312" w:eastAsia="FangSong_GB2312" w:cs="FangSong_GB2312"/>
          <w:kern w:val="0"/>
          <w:sz w:val="32"/>
          <w:szCs w:val="32"/>
        </w:rPr>
        <w:t>万元、政府采购工程支出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万元、政府采购服务支出</w:t>
      </w:r>
      <w:r>
        <w:rPr>
          <w:rFonts w:eastAsia="Times New Roman"/>
          <w:kern w:val="0"/>
          <w:sz w:val="32"/>
          <w:szCs w:val="32"/>
          <w:u w:val="single"/>
          <w:lang w:eastAsia="en-US"/>
        </w:rPr>
        <w:t xml:space="preserve"> 11.27</w:t>
      </w:r>
      <w:r>
        <w:rPr>
          <w:rFonts w:ascii="FangSong_GB2312" w:hAnsi="FangSong_GB2312" w:eastAsia="FangSong_GB2312" w:cs="FangSong_GB2312"/>
          <w:kern w:val="0"/>
          <w:sz w:val="32"/>
          <w:szCs w:val="32"/>
        </w:rPr>
        <w:t>万元。政府采购授予中小企业合同金额</w:t>
      </w:r>
      <w:r>
        <w:rPr>
          <w:rFonts w:eastAsia="Times New Roman"/>
          <w:kern w:val="0"/>
          <w:sz w:val="32"/>
          <w:szCs w:val="32"/>
          <w:u w:val="single"/>
          <w:lang w:eastAsia="en-US"/>
        </w:rPr>
        <w:t xml:space="preserve"> 21.17</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71.59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，其中：授予小微企业合同金额</w:t>
      </w:r>
      <w:r>
        <w:rPr>
          <w:rFonts w:eastAsia="Times New Roman"/>
          <w:kern w:val="0"/>
          <w:sz w:val="32"/>
          <w:szCs w:val="32"/>
          <w:u w:val="single"/>
          <w:lang w:eastAsia="en-US"/>
        </w:rPr>
        <w:t xml:space="preserve"> 20.45</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69.15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；货物采购授予中小企业合同金额占货物支出金额的</w:t>
      </w:r>
      <w:r>
        <w:rPr>
          <w:rFonts w:hint="eastAsia"/>
          <w:kern w:val="0"/>
          <w:sz w:val="32"/>
          <w:szCs w:val="32"/>
          <w:u w:val="single"/>
          <w:lang w:val="en-US" w:eastAsia="zh-CN"/>
        </w:rPr>
        <w:t>61.88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，工程采购授予中小企业合同金额占工程支出金额的</w:t>
      </w:r>
      <w:r>
        <w:rPr>
          <w:rFonts w:hint="eastAsia"/>
          <w:kern w:val="0"/>
          <w:sz w:val="32"/>
          <w:szCs w:val="32"/>
          <w:u w:val="single"/>
          <w:lang w:val="en-US" w:eastAsia="zh-CN"/>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，服务采购授予中小企业合同金额占服务支出金额的</w:t>
      </w:r>
      <w:r>
        <w:rPr>
          <w:rFonts w:hint="eastAsia"/>
          <w:kern w:val="0"/>
          <w:sz w:val="32"/>
          <w:szCs w:val="32"/>
          <w:u w:val="single"/>
          <w:lang w:val="en-US" w:eastAsia="zh-CN"/>
        </w:rPr>
        <w:t>38.11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78C5835">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14:paraId="55CFD623">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日，本部门（单位）共有车辆</w:t>
      </w:r>
      <w:r>
        <w:rPr>
          <w:rFonts w:eastAsia="Times New Roman"/>
          <w:kern w:val="0"/>
          <w:sz w:val="32"/>
          <w:szCs w:val="32"/>
          <w:u w:val="single"/>
          <w:lang w:eastAsia="en-US"/>
        </w:rPr>
        <w:t xml:space="preserve">6 </w:t>
      </w:r>
      <w:r>
        <w:rPr>
          <w:rFonts w:ascii="FangSong_GB2312" w:hAnsi="FangSong_GB2312" w:eastAsia="FangSong_GB2312" w:cs="FangSong_GB2312"/>
          <w:kern w:val="0"/>
          <w:sz w:val="32"/>
          <w:szCs w:val="32"/>
        </w:rPr>
        <w:t>辆，其中：副部（省）级及以上领导用车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辆、主要负责人用车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辆、机要通信用车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辆、应急保障用车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辆、执法执勤用车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辆、特种专业技术用车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辆、离退休干部服务用车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辆、其他用车</w:t>
      </w:r>
      <w:r>
        <w:rPr>
          <w:rFonts w:eastAsia="Times New Roman"/>
          <w:kern w:val="0"/>
          <w:sz w:val="32"/>
          <w:szCs w:val="32"/>
          <w:u w:val="single"/>
          <w:lang w:eastAsia="en-US"/>
        </w:rPr>
        <w:t xml:space="preserve">6 </w:t>
      </w:r>
      <w:r>
        <w:rPr>
          <w:rFonts w:ascii="FangSong_GB2312" w:hAnsi="FangSong_GB2312" w:eastAsia="FangSong_GB2312" w:cs="FangSong_GB2312"/>
          <w:kern w:val="0"/>
          <w:sz w:val="32"/>
          <w:szCs w:val="32"/>
        </w:rPr>
        <w:t>辆，其他用车主要是</w:t>
      </w:r>
      <w:r>
        <w:rPr>
          <w:rFonts w:hint="eastAsia" w:ascii="FangSong_GB2312" w:hAnsi="FangSong_GB2312" w:eastAsia="FangSong_GB2312" w:cs="FangSong_GB2312"/>
          <w:kern w:val="0"/>
          <w:sz w:val="32"/>
          <w:szCs w:val="32"/>
          <w:lang w:val="en-US" w:eastAsia="zh-CN"/>
        </w:rPr>
        <w:t>单位公车及封存车辆</w:t>
      </w:r>
      <w:r>
        <w:rPr>
          <w:rFonts w:ascii="FangSong_GB2312" w:hAnsi="FangSong_GB2312" w:eastAsia="FangSong_GB2312" w:cs="FangSong_GB2312"/>
          <w:kern w:val="0"/>
          <w:sz w:val="32"/>
          <w:szCs w:val="32"/>
        </w:rPr>
        <w:t>；单价</w:t>
      </w:r>
      <w:r>
        <w:rPr>
          <w:rFonts w:eastAsia="Times New Roman"/>
          <w:kern w:val="0"/>
          <w:sz w:val="32"/>
          <w:szCs w:val="32"/>
          <w:lang w:eastAsia="en-US"/>
        </w:rPr>
        <w:t>100</w:t>
      </w:r>
      <w:r>
        <w:rPr>
          <w:rFonts w:ascii="FangSong_GB2312" w:hAnsi="FangSong_GB2312" w:eastAsia="FangSong_GB2312" w:cs="FangSong_GB2312"/>
          <w:kern w:val="0"/>
          <w:sz w:val="32"/>
          <w:szCs w:val="32"/>
        </w:rPr>
        <w:t>万元（含）以上设备（不含车辆）</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台（套）。</w:t>
      </w:r>
    </w:p>
    <w:p w14:paraId="5646C1D5">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14:paraId="03B36CD5">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14:paraId="1A63D1AF">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赤峰市松山区卫生健康委员会(本级）根据预算绩效管理要求组织对</w:t>
      </w:r>
      <w:r>
        <w:rPr>
          <w:rFonts w:eastAsia="Times New Roman"/>
          <w:kern w:val="0"/>
          <w:sz w:val="32"/>
          <w:szCs w:val="32"/>
          <w:lang w:eastAsia="en-US"/>
        </w:rPr>
        <w:t>2025</w:t>
      </w:r>
      <w:r>
        <w:rPr>
          <w:rFonts w:ascii="FangSong_GB2312" w:hAnsi="FangSong_GB2312" w:eastAsia="FangSong_GB2312" w:cs="FangSong_GB2312"/>
          <w:kern w:val="0"/>
          <w:sz w:val="32"/>
          <w:szCs w:val="32"/>
        </w:rPr>
        <w:t>年一般公共预算项目支出全面开展绩效自评，共涉及项目</w:t>
      </w:r>
      <w:r>
        <w:rPr>
          <w:rFonts w:hint="eastAsia" w:eastAsia="宋体"/>
          <w:kern w:val="0"/>
          <w:sz w:val="32"/>
          <w:szCs w:val="32"/>
          <w:u w:val="single"/>
          <w:lang w:val="en-US" w:eastAsia="zh-CN"/>
        </w:rPr>
        <w:t>31</w:t>
      </w:r>
      <w:r>
        <w:rPr>
          <w:rFonts w:ascii="FangSong_GB2312" w:hAnsi="FangSong_GB2312" w:eastAsia="FangSong_GB2312" w:cs="FangSong_GB2312"/>
          <w:kern w:val="0"/>
          <w:sz w:val="32"/>
          <w:szCs w:val="32"/>
        </w:rPr>
        <w:t>个，资金</w:t>
      </w:r>
      <w:r>
        <w:rPr>
          <w:rFonts w:eastAsia="Times New Roman"/>
          <w:kern w:val="0"/>
          <w:sz w:val="32"/>
          <w:szCs w:val="32"/>
          <w:u w:val="single"/>
          <w:lang w:eastAsia="en-US"/>
        </w:rPr>
        <w:t xml:space="preserve"> 8978.61</w:t>
      </w:r>
      <w:r>
        <w:rPr>
          <w:rFonts w:ascii="FangSong_GB2312" w:hAnsi="FangSong_GB2312" w:eastAsia="FangSong_GB2312" w:cs="FangSong_GB2312"/>
          <w:kern w:val="0"/>
          <w:sz w:val="32"/>
          <w:szCs w:val="32"/>
        </w:rPr>
        <w:t>万元，占一般公共预算项目支出总额的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；政府性基金预算项目</w:t>
      </w:r>
      <w:r>
        <w:rPr>
          <w:rFonts w:hint="eastAsia"/>
          <w:kern w:val="0"/>
          <w:sz w:val="32"/>
          <w:szCs w:val="32"/>
          <w:u w:val="single"/>
          <w:lang w:val="en-US" w:eastAsia="zh-CN"/>
        </w:rPr>
        <w:t>1</w:t>
      </w:r>
      <w:r>
        <w:rPr>
          <w:rFonts w:ascii="FangSong_GB2312" w:hAnsi="FangSong_GB2312" w:eastAsia="FangSong_GB2312" w:cs="FangSong_GB2312"/>
          <w:kern w:val="0"/>
          <w:sz w:val="32"/>
          <w:szCs w:val="32"/>
        </w:rPr>
        <w:t>个，共涉及资金</w:t>
      </w:r>
      <w:r>
        <w:rPr>
          <w:rFonts w:eastAsia="Times New Roman"/>
          <w:kern w:val="0"/>
          <w:sz w:val="32"/>
          <w:szCs w:val="32"/>
          <w:u w:val="single"/>
          <w:lang w:eastAsia="en-US"/>
        </w:rPr>
        <w:t xml:space="preserve"> 170.15</w:t>
      </w:r>
      <w:r>
        <w:rPr>
          <w:rFonts w:ascii="FangSong_GB2312" w:hAnsi="FangSong_GB2312" w:eastAsia="FangSong_GB2312" w:cs="FangSong_GB2312"/>
          <w:kern w:val="0"/>
          <w:sz w:val="32"/>
          <w:szCs w:val="32"/>
        </w:rPr>
        <w:t>万元，占政府性基金预算项目支出总额的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；组织对“</w:t>
      </w:r>
      <w:r>
        <w:rPr>
          <w:rFonts w:hint="eastAsia" w:ascii="FangSong_GB2312" w:hAnsi="FangSong_GB2312" w:eastAsia="FangSong_GB2312" w:cs="FangSong_GB2312"/>
          <w:kern w:val="0"/>
          <w:sz w:val="32"/>
          <w:szCs w:val="32"/>
          <w:lang w:eastAsia="en-US"/>
        </w:rPr>
        <w:t>松山卫健委截止2024年6月30日拖欠企业账款项目</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en-US"/>
        </w:rPr>
        <w:t>基本公共卫生服务</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en-US"/>
        </w:rPr>
        <w:t>计生事业费（结算）</w:t>
      </w:r>
      <w:r>
        <w:rPr>
          <w:rFonts w:ascii="FangSong_GB2312" w:hAnsi="FangSong_GB2312" w:eastAsia="FangSong_GB2312" w:cs="FangSong_GB2312"/>
          <w:kern w:val="0"/>
          <w:sz w:val="32"/>
          <w:szCs w:val="32"/>
        </w:rPr>
        <w:t>”等</w:t>
      </w:r>
      <w:r>
        <w:rPr>
          <w:rFonts w:hint="eastAsia" w:eastAsia="宋体"/>
          <w:kern w:val="0"/>
          <w:sz w:val="32"/>
          <w:szCs w:val="32"/>
          <w:u w:val="single"/>
          <w:lang w:val="en-US" w:eastAsia="zh-CN"/>
        </w:rPr>
        <w:t>32</w:t>
      </w:r>
      <w:r>
        <w:rPr>
          <w:rFonts w:ascii="FangSong_GB2312" w:hAnsi="FangSong_GB2312" w:eastAsia="FangSong_GB2312" w:cs="FangSong_GB2312"/>
          <w:kern w:val="0"/>
          <w:sz w:val="32"/>
          <w:szCs w:val="32"/>
        </w:rPr>
        <w:t>个项目开展了部门评价，涉及一般公共预算支出</w:t>
      </w:r>
      <w:r>
        <w:rPr>
          <w:rFonts w:eastAsia="Times New Roman"/>
          <w:kern w:val="0"/>
          <w:sz w:val="32"/>
          <w:szCs w:val="32"/>
          <w:u w:val="single"/>
          <w:lang w:eastAsia="en-US"/>
        </w:rPr>
        <w:t xml:space="preserve"> 8978.61</w:t>
      </w:r>
      <w:r>
        <w:rPr>
          <w:rFonts w:ascii="FangSong_GB2312" w:hAnsi="FangSong_GB2312" w:eastAsia="FangSong_GB2312" w:cs="FangSong_GB2312"/>
          <w:kern w:val="0"/>
          <w:sz w:val="32"/>
          <w:szCs w:val="32"/>
        </w:rPr>
        <w:t>万元，政府性基金支出</w:t>
      </w:r>
      <w:r>
        <w:rPr>
          <w:rFonts w:eastAsia="Times New Roman"/>
          <w:kern w:val="0"/>
          <w:sz w:val="32"/>
          <w:szCs w:val="32"/>
          <w:u w:val="single"/>
          <w:lang w:eastAsia="en-US"/>
        </w:rPr>
        <w:t xml:space="preserve"> 170.15</w:t>
      </w:r>
      <w:r>
        <w:rPr>
          <w:rFonts w:ascii="FangSong_GB2312" w:hAnsi="FangSong_GB2312" w:eastAsia="FangSong_GB2312" w:cs="FangSong_GB2312"/>
          <w:kern w:val="0"/>
          <w:sz w:val="32"/>
          <w:szCs w:val="32"/>
        </w:rPr>
        <w:t>万元。</w:t>
      </w:r>
    </w:p>
    <w:p w14:paraId="467B93C0">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（二）部门（单位）决算中项目绩效自评结果。</w:t>
      </w:r>
    </w:p>
    <w:p w14:paraId="59624C51">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赤峰市松山区卫生健康委员会(本级）</w:t>
      </w:r>
      <w:r>
        <w:rPr>
          <w:rFonts w:eastAsia="Times New Roman"/>
          <w:kern w:val="0"/>
          <w:sz w:val="32"/>
          <w:szCs w:val="32"/>
          <w:lang w:eastAsia="en-US"/>
        </w:rPr>
        <w:t>2025</w:t>
      </w:r>
      <w:r>
        <w:rPr>
          <w:rFonts w:ascii="FangSong_GB2312" w:hAnsi="FangSong_GB2312" w:eastAsia="FangSong_GB2312" w:cs="FangSong_GB2312"/>
          <w:kern w:val="0"/>
          <w:sz w:val="32"/>
          <w:szCs w:val="32"/>
        </w:rPr>
        <w:t>年度在决算中反映</w:t>
      </w:r>
      <w:r>
        <w:rPr>
          <w:rFonts w:hint="eastAsia" w:eastAsia="宋体"/>
          <w:kern w:val="0"/>
          <w:sz w:val="32"/>
          <w:szCs w:val="32"/>
          <w:u w:val="single"/>
          <w:lang w:val="en-US" w:eastAsia="zh-CN"/>
        </w:rPr>
        <w:t>31</w:t>
      </w:r>
      <w:r>
        <w:rPr>
          <w:rFonts w:ascii="FangSong_GB2312" w:hAnsi="FangSong_GB2312" w:eastAsia="FangSong_GB2312" w:cs="FangSong_GB2312"/>
          <w:kern w:val="0"/>
          <w:sz w:val="32"/>
          <w:szCs w:val="32"/>
        </w:rPr>
        <w:t>个一般公共预算项目，以及</w:t>
      </w:r>
      <w:r>
        <w:rPr>
          <w:rFonts w:hint="eastAsia" w:eastAsia="宋体"/>
          <w:kern w:val="0"/>
          <w:sz w:val="32"/>
          <w:szCs w:val="32"/>
          <w:u w:val="single"/>
          <w:lang w:val="en-US" w:eastAsia="zh-CN"/>
        </w:rPr>
        <w:t>1</w:t>
      </w:r>
      <w:r>
        <w:rPr>
          <w:rFonts w:ascii="FangSong_GB2312" w:hAnsi="FangSong_GB2312" w:eastAsia="FangSong_GB2312" w:cs="FangSong_GB2312"/>
          <w:kern w:val="0"/>
          <w:sz w:val="32"/>
          <w:szCs w:val="32"/>
        </w:rPr>
        <w:t>个政府性基金项目，共</w:t>
      </w:r>
      <w:r>
        <w:rPr>
          <w:rFonts w:hint="eastAsia" w:eastAsia="宋体"/>
          <w:kern w:val="0"/>
          <w:sz w:val="32"/>
          <w:szCs w:val="32"/>
          <w:u w:val="single"/>
          <w:lang w:val="en-US" w:eastAsia="zh-CN"/>
        </w:rPr>
        <w:t>32</w:t>
      </w:r>
      <w:r>
        <w:rPr>
          <w:rFonts w:ascii="FangSong_GB2312" w:hAnsi="FangSong_GB2312" w:eastAsia="FangSong_GB2312" w:cs="FangSong_GB2312"/>
          <w:kern w:val="0"/>
          <w:sz w:val="32"/>
          <w:szCs w:val="32"/>
        </w:rPr>
        <w:t>个项目的绩效自评结果。</w:t>
      </w:r>
    </w:p>
    <w:p w14:paraId="37F68164">
      <w:pPr>
        <w:pStyle w:val="29"/>
        <w:widowControl/>
        <w:spacing w:before="240" w:after="240"/>
        <w:ind w:firstLine="643"/>
        <w:jc w:val="left"/>
        <w:rPr>
          <w:rFonts w:ascii="Times New Roman" w:hAnsi="Times New Roman" w:eastAsia="Times New Roman" w:cs="Times New Roman"/>
          <w:kern w:val="0"/>
          <w:sz w:val="24"/>
        </w:rPr>
      </w:pPr>
      <w:bookmarkStart w:id="1" w:name="_GoBack"/>
      <w:bookmarkEnd w:id="1"/>
      <w:r>
        <w:rPr>
          <w:rFonts w:ascii="楷体" w:hAnsi="楷体" w:eastAsia="楷体" w:cs="楷体"/>
          <w:b/>
          <w:bCs/>
          <w:kern w:val="0"/>
          <w:sz w:val="32"/>
          <w:szCs w:val="32"/>
        </w:rPr>
        <w:t>（三）部门项目绩效评价结果。</w:t>
      </w:r>
    </w:p>
    <w:p w14:paraId="4268C3B5">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以</w:t>
      </w:r>
      <w:r>
        <w:rPr>
          <w:rFonts w:hint="eastAsia" w:ascii="FangSong_GB2312" w:hAnsi="FangSong_GB2312" w:eastAsia="FangSong_GB2312" w:cs="FangSong_GB2312"/>
          <w:kern w:val="0"/>
          <w:sz w:val="32"/>
          <w:szCs w:val="32"/>
          <w:lang w:eastAsia="en-US"/>
        </w:rPr>
        <w:t>松山卫健委截止2024年6月30日拖欠企业账款项目</w:t>
      </w:r>
      <w:r>
        <w:rPr>
          <w:rFonts w:ascii="FangSong_GB2312" w:hAnsi="FangSong_GB2312" w:eastAsia="FangSong_GB2312" w:cs="FangSong_GB2312"/>
          <w:kern w:val="0"/>
          <w:sz w:val="32"/>
          <w:szCs w:val="32"/>
        </w:rPr>
        <w:t>项目为例，该项目绩效评价绩效评价结果为“优”。部门项目绩效评价得分情况详见部门（单位）具体绩效评价结果。</w:t>
      </w:r>
    </w:p>
    <w:p w14:paraId="2FE3424E">
      <w:pPr>
        <w:pStyle w:val="29"/>
        <w:widowControl/>
        <w:numPr>
          <w:ilvl w:val="0"/>
          <w:numId w:val="1"/>
        </w:numPr>
        <w:spacing w:before="240" w:after="240"/>
        <w:ind w:firstLine="643"/>
        <w:jc w:val="left"/>
        <w:rPr>
          <w:rFonts w:ascii="楷体" w:hAnsi="楷体" w:eastAsia="楷体" w:cs="楷体"/>
          <w:b/>
          <w:bCs/>
          <w:kern w:val="0"/>
          <w:sz w:val="32"/>
          <w:szCs w:val="32"/>
        </w:rPr>
      </w:pPr>
      <w:r>
        <w:rPr>
          <w:rFonts w:ascii="楷体" w:hAnsi="楷体" w:eastAsia="楷体" w:cs="楷体"/>
          <w:b/>
          <w:bCs/>
          <w:kern w:val="0"/>
          <w:sz w:val="32"/>
          <w:szCs w:val="32"/>
        </w:rPr>
        <w:t>部门（单位）预算绩效管理制度和核心绩效指标标准体系建设情况。</w:t>
      </w:r>
    </w:p>
    <w:p w14:paraId="0E90CE23">
      <w:pPr>
        <w:pStyle w:val="29"/>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我委已建立预算绩效管理工作机制，落实全流程绩效管理。逐步完善卫健领域核心绩效指标，目前仍存在基层水平不均、个性指标库不完善等问题，后续将补齐制度、建好指标体系，强化绩效结果运用。</w:t>
      </w:r>
    </w:p>
    <w:p w14:paraId="7BB68679">
      <w:pPr>
        <w:widowControl/>
        <w:spacing w:before="240" w:after="240"/>
        <w:jc w:val="left"/>
        <w:rPr>
          <w:rFonts w:ascii="Times New Roman" w:hAnsi="Times New Roman" w:eastAsia="Times New Roman" w:cs="Times New Roman"/>
          <w:kern w:val="0"/>
          <w:sz w:val="24"/>
        </w:rPr>
      </w:pPr>
    </w:p>
    <w:p w14:paraId="264297AC">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2B7E4F45">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0CA003C0">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0DE568C3">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5E2F1432">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7A85313D">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24E51FA9">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59817422">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14D00146">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0FCF7881">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41B5BD09">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1C6152A1">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2AE950EF">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487DBF5F">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31124EDE">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1FF27B94">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314A54D8">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维修费、过路过桥费、保险费、安全奖励费用等支出；公务接待费反映部门（单位）按规定开支的各类公务接待（含外宾接待）费用。</w:t>
      </w:r>
    </w:p>
    <w:p w14:paraId="4D166B00">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5EF1D139">
      <w:pPr>
        <w:widowControl/>
        <w:spacing w:before="240" w:after="240"/>
        <w:jc w:val="left"/>
        <w:rPr>
          <w:rFonts w:ascii="Times New Roman" w:hAnsi="Times New Roman" w:eastAsia="Times New Roman" w:cs="Times New Roman"/>
          <w:kern w:val="0"/>
          <w:sz w:val="24"/>
        </w:rPr>
      </w:pPr>
    </w:p>
    <w:p w14:paraId="6C96C935">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604E8282">
      <w:pPr>
        <w:widowControl/>
        <w:spacing w:before="240" w:after="240"/>
        <w:jc w:val="left"/>
        <w:rPr>
          <w:rFonts w:ascii="Times New Roman" w:hAnsi="Times New Roman" w:eastAsia="Times New Roman" w:cs="Times New Roman"/>
          <w:kern w:val="0"/>
          <w:sz w:val="24"/>
        </w:rPr>
      </w:pPr>
    </w:p>
    <w:p w14:paraId="3D573FB2">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本部门（单位）决算公开信息反馈和联系方式：</w:t>
      </w:r>
    </w:p>
    <w:p w14:paraId="1ABB4FB5">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于淑玲</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0476-8442397-</w:t>
      </w:r>
    </w:p>
    <w:p w14:paraId="01706E25">
      <w:pPr>
        <w:widowControl/>
        <w:spacing w:before="240" w:after="240"/>
        <w:jc w:val="left"/>
        <w:rPr>
          <w:rFonts w:ascii="Times New Roman" w:hAnsi="Times New Roman" w:eastAsia="Times New Roman" w:cs="Times New Roman"/>
          <w:kern w:val="0"/>
          <w:sz w:val="24"/>
        </w:rPr>
      </w:pPr>
    </w:p>
    <w:p w14:paraId="5509289F">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部门（单位）决算表</w:t>
      </w:r>
    </w:p>
    <w:p w14:paraId="58A9DFFB">
      <w:pPr>
        <w:pStyle w:val="29"/>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262E4E37">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14:paraId="482A33CE">
      <w:pPr>
        <w:adjustRightInd w:val="0"/>
        <w:snapToGrid w:val="0"/>
        <w:rPr>
          <w:rFonts w:ascii="宋体" w:hAnsi="宋体"/>
          <w:b/>
          <w:sz w:val="32"/>
          <w:szCs w:val="32"/>
        </w:rPr>
      </w:pPr>
    </w:p>
    <w:p w14:paraId="16B721BE">
      <w:pPr>
        <w:adjustRightInd w:val="0"/>
        <w:snapToGrid w:val="0"/>
        <w:rPr>
          <w:rFonts w:ascii="宋体" w:hAnsi="宋体"/>
          <w:b/>
          <w:sz w:val="32"/>
          <w:szCs w:val="32"/>
        </w:rPr>
      </w:pPr>
    </w:p>
    <w:p w14:paraId="064DC7E7">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56570EA-2042-4E40-AC96-AE6E37402969}"/>
  </w:font>
  <w:font w:name="黑体">
    <w:panose1 w:val="02010609060101010101"/>
    <w:charset w:val="86"/>
    <w:family w:val="auto"/>
    <w:pitch w:val="default"/>
    <w:sig w:usb0="800002BF" w:usb1="38CF7CFA" w:usb2="00000016" w:usb3="00000000" w:csb0="00040001" w:csb1="00000000"/>
    <w:embedRegular r:id="rId2" w:fontKey="{BAB76C33-7A81-4F0F-8D45-87F5D39B36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embedRegular r:id="rId3" w:fontKey="{DC6CC448-7B0D-48BF-9577-5882CCC30161}"/>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FangSong_GB2312">
    <w:altName w:val="仿宋"/>
    <w:panose1 w:val="00000000000000000000"/>
    <w:charset w:val="00"/>
    <w:family w:val="auto"/>
    <w:pitch w:val="default"/>
    <w:sig w:usb0="00000000" w:usb1="00000000" w:usb2="00000000" w:usb3="00000000" w:csb0="00000000" w:csb1="00000000"/>
    <w:embedRegular r:id="rId4" w:fontKey="{BEC760CE-331F-4AE1-8596-24A2700CE3A7}"/>
  </w:font>
  <w:font w:name="方正小标宋简体">
    <w:panose1 w:val="02000000000000000000"/>
    <w:charset w:val="86"/>
    <w:family w:val="auto"/>
    <w:pitch w:val="default"/>
    <w:sig w:usb0="00000001" w:usb1="08000000" w:usb2="00000000" w:usb3="00000000" w:csb0="00040000" w:csb1="00000000"/>
    <w:embedRegular r:id="rId5" w:fontKey="{EE5668CC-81F2-462E-A163-5FEFD4A88E73}"/>
  </w:font>
  <w:font w:name="楷体">
    <w:panose1 w:val="02010609060101010101"/>
    <w:charset w:val="86"/>
    <w:family w:val="auto"/>
    <w:pitch w:val="default"/>
    <w:sig w:usb0="800002BF" w:usb1="38CF7CFA" w:usb2="00000016" w:usb3="00000000" w:csb0="00040001" w:csb1="00000000"/>
    <w:embedRegular r:id="rId6" w:fontKey="{5361961A-32DD-437D-BC67-1CC999472CCD}"/>
  </w:font>
  <w:font w:name="楷体_GB2312">
    <w:altName w:val="楷体"/>
    <w:panose1 w:val="02010609030101010101"/>
    <w:charset w:val="86"/>
    <w:family w:val="modern"/>
    <w:pitch w:val="default"/>
    <w:sig w:usb0="00000000" w:usb1="00000000" w:usb2="00000000" w:usb3="00000000" w:csb0="00040000" w:csb1="00000000"/>
    <w:embedRegular r:id="rId7" w:fontKey="{09FFA078-CC9E-46C8-ACCF-CA0F0D64E5C0}"/>
  </w:font>
  <w:font w:name="方正仿宋_GBK">
    <w:panose1 w:val="02000000000000000000"/>
    <w:charset w:val="86"/>
    <w:family w:val="auto"/>
    <w:pitch w:val="default"/>
    <w:sig w:usb0="A00002BF" w:usb1="38CF7CFA" w:usb2="00082016" w:usb3="00000000" w:csb0="00040001" w:csb1="00000000"/>
    <w:embedRegular r:id="rId8" w:fontKey="{68953154-98BB-4176-BE91-F266E57BE0C9}"/>
  </w:font>
  <w:font w:name="times_new_roman">
    <w:altName w:val="Segoe Print"/>
    <w:panose1 w:val="00000000000000000000"/>
    <w:charset w:val="00"/>
    <w:family w:val="auto"/>
    <w:pitch w:val="default"/>
    <w:sig w:usb0="00000000" w:usb1="00000000" w:usb2="00000000" w:usb3="00000000" w:csb0="00000000" w:csb1="00000000"/>
    <w:embedRegular r:id="rId9" w:fontKey="{B402B211-F39B-4BD0-BBB0-8103E9C1A881}"/>
  </w:font>
  <w:font w:name="Segoe Print">
    <w:panose1 w:val="02000600000000000000"/>
    <w:charset w:val="00"/>
    <w:family w:val="auto"/>
    <w:pitch w:val="default"/>
    <w:sig w:usb0="0000028F" w:usb1="00000000" w:usb2="00000000" w:usb3="00000000" w:csb0="2000009F" w:csb1="47010000"/>
  </w:font>
  <w:font w:name="fang_zheng_xiao_biao_song_ti">
    <w:altName w:val="Segoe Print"/>
    <w:panose1 w:val="00000000000000000000"/>
    <w:charset w:val="00"/>
    <w:family w:val="auto"/>
    <w:pitch w:val="default"/>
    <w:sig w:usb0="00000000" w:usb1="00000000" w:usb2="00000000" w:usb3="00000000" w:csb0="00000000" w:csb1="00000000"/>
    <w:embedRegular r:id="rId10" w:fontKey="{A5FAAF7B-D948-44A1-9821-1ACCA1384DA6}"/>
  </w:font>
  <w:font w:name="KSOF8BCA4F43">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BCAC3A2">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5B2F5">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7EA23">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58B995"/>
    <w:multiLevelType w:val="singleLevel"/>
    <w:tmpl w:val="6058B995"/>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11CA7"/>
    <w:rsid w:val="6F2771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8"/>
    <w:qFormat/>
    <w:uiPriority w:val="0"/>
    <w:pPr>
      <w:keepNext/>
      <w:keepLines/>
      <w:spacing w:before="260" w:after="260" w:line="416" w:lineRule="auto"/>
      <w:outlineLvl w:val="2"/>
    </w:pPr>
    <w:rPr>
      <w:b/>
      <w:bCs/>
      <w:sz w:val="32"/>
      <w:szCs w:val="32"/>
    </w:rPr>
  </w:style>
  <w:style w:type="paragraph" w:styleId="5">
    <w:name w:val="heading 4"/>
    <w:basedOn w:val="1"/>
    <w:next w:val="1"/>
    <w:link w:val="23"/>
    <w:qFormat/>
    <w:uiPriority w:val="0"/>
    <w:pPr>
      <w:keepNext/>
      <w:keepLines/>
      <w:spacing w:before="280" w:after="290" w:line="376" w:lineRule="auto"/>
      <w:outlineLvl w:val="3"/>
    </w:pPr>
    <w:rPr>
      <w:rFonts w:ascii="Cambria" w:hAnsi="Cambria"/>
      <w:b/>
      <w:bCs/>
      <w:sz w:val="28"/>
      <w:szCs w:val="28"/>
    </w:rPr>
  </w:style>
  <w:style w:type="character" w:default="1" w:styleId="19">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toc 5"/>
    <w:basedOn w:val="1"/>
    <w:next w:val="1"/>
    <w:autoRedefine/>
    <w:qFormat/>
    <w:uiPriority w:val="0"/>
    <w:pPr>
      <w:ind w:left="840"/>
      <w:jc w:val="left"/>
    </w:pPr>
    <w:rPr>
      <w:sz w:val="20"/>
      <w:szCs w:val="20"/>
    </w:rPr>
  </w:style>
  <w:style w:type="paragraph" w:styleId="9">
    <w:name w:val="toc 3"/>
    <w:basedOn w:val="1"/>
    <w:next w:val="1"/>
    <w:qFormat/>
    <w:uiPriority w:val="0"/>
    <w:pPr>
      <w:adjustRightInd w:val="0"/>
      <w:snapToGrid w:val="0"/>
      <w:spacing w:line="360" w:lineRule="auto"/>
      <w:ind w:firstLine="400" w:firstLineChars="400"/>
      <w:jc w:val="left"/>
    </w:pPr>
    <w:rPr>
      <w:sz w:val="24"/>
      <w:szCs w:val="20"/>
    </w:rPr>
  </w:style>
  <w:style w:type="paragraph" w:styleId="10">
    <w:name w:val="toc 8"/>
    <w:basedOn w:val="1"/>
    <w:next w:val="1"/>
    <w:autoRedefine/>
    <w:qFormat/>
    <w:uiPriority w:val="0"/>
    <w:pPr>
      <w:ind w:left="1470"/>
      <w:jc w:val="left"/>
    </w:pPr>
    <w:rPr>
      <w:sz w:val="20"/>
      <w:szCs w:val="20"/>
    </w:rPr>
  </w:style>
  <w:style w:type="paragraph" w:styleId="11">
    <w:name w:val="footer"/>
    <w:basedOn w:val="1"/>
    <w:link w:val="26"/>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autoRedefine/>
    <w:qFormat/>
    <w:uiPriority w:val="0"/>
    <w:pPr>
      <w:ind w:left="630"/>
      <w:jc w:val="left"/>
    </w:pPr>
    <w:rPr>
      <w:sz w:val="20"/>
      <w:szCs w:val="20"/>
    </w:rPr>
  </w:style>
  <w:style w:type="paragraph" w:styleId="15">
    <w:name w:val="toc 6"/>
    <w:basedOn w:val="1"/>
    <w:next w:val="1"/>
    <w:autoRedefine/>
    <w:qFormat/>
    <w:uiPriority w:val="0"/>
    <w:pPr>
      <w:ind w:left="1050"/>
      <w:jc w:val="left"/>
    </w:pPr>
    <w:rPr>
      <w:sz w:val="20"/>
      <w:szCs w:val="20"/>
    </w:rPr>
  </w:style>
  <w:style w:type="paragraph" w:styleId="16">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7">
    <w:name w:val="toc 9"/>
    <w:basedOn w:val="1"/>
    <w:next w:val="1"/>
    <w:autoRedefine/>
    <w:qFormat/>
    <w:uiPriority w:val="0"/>
    <w:pPr>
      <w:ind w:left="1680"/>
      <w:jc w:val="left"/>
    </w:pPr>
    <w:rPr>
      <w:sz w:val="20"/>
      <w:szCs w:val="20"/>
    </w:rPr>
  </w:style>
  <w:style w:type="character" w:styleId="20">
    <w:name w:val="Strong"/>
    <w:basedOn w:val="19"/>
    <w:qFormat/>
    <w:uiPriority w:val="0"/>
    <w:rPr>
      <w:b/>
      <w:bCs/>
    </w:rPr>
  </w:style>
  <w:style w:type="character" w:styleId="21">
    <w:name w:val="page number"/>
    <w:basedOn w:val="19"/>
    <w:qFormat/>
    <w:uiPriority w:val="0"/>
  </w:style>
  <w:style w:type="character" w:styleId="22">
    <w:name w:val="Hyperlink"/>
    <w:basedOn w:val="19"/>
    <w:qFormat/>
    <w:uiPriority w:val="0"/>
    <w:rPr>
      <w:color w:val="0000FF"/>
      <w:u w:val="single"/>
    </w:rPr>
  </w:style>
  <w:style w:type="character" w:customStyle="1" w:styleId="23">
    <w:name w:val="标题 4 Char"/>
    <w:basedOn w:val="19"/>
    <w:link w:val="5"/>
    <w:qFormat/>
    <w:uiPriority w:val="0"/>
    <w:rPr>
      <w:rFonts w:ascii="Cambria" w:hAnsi="Cambria"/>
      <w:b/>
      <w:bCs/>
      <w:kern w:val="2"/>
      <w:sz w:val="28"/>
      <w:szCs w:val="28"/>
    </w:rPr>
  </w:style>
  <w:style w:type="paragraph" w:styleId="2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5">
    <w:name w:val="无间隔 Char"/>
    <w:link w:val="24"/>
    <w:qFormat/>
    <w:locked/>
    <w:uiPriority w:val="0"/>
    <w:rPr>
      <w:rFonts w:eastAsia="仿宋_GB2312"/>
      <w:sz w:val="30"/>
      <w:szCs w:val="22"/>
      <w:lang w:bidi="ar-SA"/>
    </w:rPr>
  </w:style>
  <w:style w:type="character" w:customStyle="1" w:styleId="26">
    <w:name w:val="页脚 Char"/>
    <w:basedOn w:val="19"/>
    <w:link w:val="11"/>
    <w:qFormat/>
    <w:uiPriority w:val="0"/>
    <w:rPr>
      <w:kern w:val="2"/>
      <w:sz w:val="18"/>
      <w:szCs w:val="18"/>
    </w:rPr>
  </w:style>
  <w:style w:type="paragraph" w:styleId="27">
    <w:name w:val="List Paragraph"/>
    <w:basedOn w:val="1"/>
    <w:qFormat/>
    <w:uiPriority w:val="0"/>
    <w:pPr>
      <w:ind w:firstLine="420" w:firstLineChars="200"/>
    </w:pPr>
  </w:style>
  <w:style w:type="character" w:customStyle="1" w:styleId="28">
    <w:name w:val="标题 3 Char"/>
    <w:basedOn w:val="19"/>
    <w:link w:val="4"/>
    <w:qFormat/>
    <w:uiPriority w:val="0"/>
    <w:rPr>
      <w:b/>
      <w:bCs/>
      <w:kern w:val="2"/>
      <w:sz w:val="32"/>
      <w:szCs w:val="32"/>
    </w:rPr>
  </w:style>
  <w:style w:type="paragraph" w:customStyle="1" w:styleId="29">
    <w:name w:val="MsoNormal"/>
    <w:basedOn w:val="1"/>
    <w:qFormat/>
    <w:uiPriority w:val="0"/>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Table Text"/>
    <w:basedOn w:val="1"/>
    <w:semiHidden/>
    <w:qFormat/>
    <w:uiPriority w:val="0"/>
    <w:rPr>
      <w:rFonts w:ascii="仿宋" w:hAnsi="仿宋" w:eastAsia="仿宋" w:cs="仿宋"/>
      <w:sz w:val="31"/>
      <w:szCs w:val="31"/>
      <w:lang w:val="en-US" w:eastAsia="en-US" w:bidi="ar-SA"/>
    </w:rPr>
  </w:style>
  <w:style w:type="paragraph" w:customStyle="1" w:styleId="32">
    <w:name w:val="Char Char Char Char Char Char Char Char Char Char Char Char Char Char Char Char"/>
    <w:basedOn w:val="1"/>
    <w:qFormat/>
    <w:uiPriority w:val="0"/>
    <w:rPr>
      <w:rFonts w:ascii="Tahoma" w:hAnsi="Tahom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11006</Words>
  <Characters>11748</Characters>
  <Lines>1</Lines>
  <Paragraphs>1</Paragraphs>
  <TotalTime>3</TotalTime>
  <ScaleCrop>false</ScaleCrop>
  <LinksUpToDate>false</LinksUpToDate>
  <CharactersWithSpaces>11967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Ricardo</cp:lastModifiedBy>
  <cp:lastPrinted>2021-04-16T00:45:00Z</cp:lastPrinted>
  <dcterms:modified xsi:type="dcterms:W3CDTF">2026-08-28T13:21:09Z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446F0A5332354E3DB243192AE71813DF_13</vt:lpwstr>
  </property>
  <property fmtid="{D5CDD505-2E9C-101B-9397-08002B2CF9AE}" pid="3" name="KSOProductBuildVer">
    <vt:lpwstr>2052-12.1.0.28043</vt:lpwstr>
  </property>
  <property fmtid="{D5CDD505-2E9C-101B-9397-08002B2CF9AE}" pid="4" name="KSOTemplateDocerSaveRecord">
    <vt:lpwstr>eyJoZGlkIjoiZjM5MDMxZGI1ZGFmNDA1YjVlY2FiOTBkYWU0ZTdiMDAiLCJ1c2VySWQiOiI0Mzk5MDUwMjMifQ==</vt:lpwstr>
  </property>
</Properties>
</file>