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45DC3E">
      <w:pPr>
        <w:spacing w:line="360" w:lineRule="auto"/>
        <w:jc w:val="center"/>
        <w:rPr>
          <w:rFonts w:ascii="宋体" w:hAnsi="宋体"/>
          <w:sz w:val="24"/>
        </w:rPr>
      </w:pPr>
    </w:p>
    <w:p w14:paraId="781F0199">
      <w:pPr>
        <w:spacing w:line="360" w:lineRule="auto"/>
        <w:jc w:val="center"/>
        <w:rPr>
          <w:rFonts w:ascii="宋体" w:hAnsi="宋体"/>
          <w:sz w:val="24"/>
        </w:rPr>
      </w:pPr>
    </w:p>
    <w:p w14:paraId="588D4AEF">
      <w:pPr>
        <w:spacing w:line="360" w:lineRule="auto"/>
        <w:jc w:val="center"/>
        <w:rPr>
          <w:rFonts w:ascii="宋体" w:hAnsi="宋体"/>
          <w:sz w:val="24"/>
        </w:rPr>
      </w:pPr>
    </w:p>
    <w:p w14:paraId="3F809282">
      <w:pPr>
        <w:spacing w:line="360" w:lineRule="auto"/>
        <w:jc w:val="center"/>
        <w:rPr>
          <w:rFonts w:ascii="宋体" w:hAnsi="宋体"/>
          <w:sz w:val="24"/>
        </w:rPr>
      </w:pPr>
    </w:p>
    <w:p w14:paraId="42815D58">
      <w:pPr>
        <w:spacing w:line="360" w:lineRule="auto"/>
        <w:jc w:val="center"/>
        <w:rPr>
          <w:rFonts w:ascii="宋体" w:hAnsi="宋体"/>
          <w:b/>
          <w:bCs/>
          <w:sz w:val="52"/>
          <w:szCs w:val="52"/>
        </w:rPr>
      </w:pPr>
      <w:r>
        <w:rPr>
          <w:rFonts w:ascii="宋体" w:hAnsi="宋体"/>
          <w:b/>
          <w:bCs/>
          <w:sz w:val="52"/>
          <w:szCs w:val="52"/>
        </w:rPr>
        <w:t>2025</w:t>
      </w:r>
      <w:r>
        <w:rPr>
          <w:rFonts w:hint="eastAsia" w:ascii="宋体" w:hAnsi="宋体"/>
          <w:b/>
          <w:bCs/>
          <w:sz w:val="52"/>
          <w:szCs w:val="52"/>
        </w:rPr>
        <w:t>年度赤峰市松山区审计局</w:t>
      </w:r>
    </w:p>
    <w:p w14:paraId="77E6C3D2">
      <w:pPr>
        <w:spacing w:line="360" w:lineRule="auto"/>
        <w:jc w:val="center"/>
        <w:rPr>
          <w:rFonts w:ascii="宋体" w:hAnsi="宋体"/>
          <w:b/>
          <w:bCs/>
          <w:sz w:val="52"/>
          <w:szCs w:val="52"/>
        </w:rPr>
      </w:pPr>
      <w:r>
        <w:rPr>
          <w:rFonts w:hint="eastAsia" w:ascii="宋体" w:hAnsi="宋体"/>
          <w:b/>
          <w:bCs/>
          <w:sz w:val="52"/>
          <w:szCs w:val="52"/>
        </w:rPr>
        <w:t>公开报告</w:t>
      </w:r>
    </w:p>
    <w:p w14:paraId="6AF33ABC">
      <w:pPr>
        <w:spacing w:line="360" w:lineRule="auto"/>
        <w:jc w:val="center"/>
        <w:rPr>
          <w:rFonts w:ascii="宋体" w:hAnsi="宋体"/>
          <w:b/>
          <w:bCs/>
          <w:sz w:val="52"/>
          <w:szCs w:val="52"/>
        </w:rPr>
      </w:pPr>
    </w:p>
    <w:p w14:paraId="10212A6C">
      <w:pPr>
        <w:spacing w:line="360" w:lineRule="auto"/>
        <w:jc w:val="center"/>
        <w:rPr>
          <w:rFonts w:ascii="宋体" w:hAnsi="宋体"/>
          <w:b/>
          <w:bCs/>
          <w:sz w:val="52"/>
          <w:szCs w:val="52"/>
        </w:rPr>
      </w:pPr>
    </w:p>
    <w:p w14:paraId="636528E7">
      <w:pPr>
        <w:spacing w:line="360" w:lineRule="auto"/>
        <w:jc w:val="center"/>
        <w:rPr>
          <w:rFonts w:ascii="宋体" w:hAnsi="宋体"/>
          <w:b/>
          <w:bCs/>
          <w:sz w:val="52"/>
          <w:szCs w:val="52"/>
        </w:rPr>
      </w:pPr>
    </w:p>
    <w:p w14:paraId="3ADF248C">
      <w:pPr>
        <w:spacing w:line="360" w:lineRule="auto"/>
        <w:jc w:val="center"/>
        <w:rPr>
          <w:rFonts w:ascii="宋体" w:hAnsi="宋体"/>
          <w:b/>
          <w:bCs/>
          <w:sz w:val="52"/>
          <w:szCs w:val="52"/>
        </w:rPr>
      </w:pPr>
    </w:p>
    <w:p w14:paraId="1D89E7A7">
      <w:pPr>
        <w:spacing w:line="360" w:lineRule="auto"/>
        <w:jc w:val="center"/>
        <w:rPr>
          <w:rFonts w:ascii="宋体" w:hAnsi="宋体"/>
          <w:b/>
          <w:bCs/>
          <w:sz w:val="52"/>
          <w:szCs w:val="52"/>
        </w:rPr>
      </w:pPr>
    </w:p>
    <w:p w14:paraId="454CAC92">
      <w:pPr>
        <w:ind w:firstLine="2249" w:firstLineChars="700"/>
        <w:rPr>
          <w:rFonts w:ascii="仿宋" w:hAnsi="仿宋" w:eastAsia="仿宋"/>
          <w:b/>
          <w:sz w:val="32"/>
          <w:szCs w:val="32"/>
        </w:rPr>
        <w:sectPr>
          <w:footerReference r:id="rId3" w:type="default"/>
          <w:pgSz w:w="11906" w:h="16838"/>
          <w:pgMar w:top="1440" w:right="1800" w:bottom="1440" w:left="1800" w:header="0" w:footer="720" w:gutter="0"/>
          <w:cols w:space="425" w:num="1"/>
          <w:docGrid w:type="lines" w:linePitch="312" w:charSpace="0"/>
        </w:sectPr>
      </w:pPr>
    </w:p>
    <w:p w14:paraId="1C9A9517">
      <w:pPr>
        <w:pStyle w:val="28"/>
        <w:widowControl/>
        <w:spacing w:after="240"/>
        <w:jc w:val="center"/>
        <w:rPr>
          <w:rFonts w:ascii="Times New Roman" w:hAnsi="Times New Roman" w:eastAsia="Times New Roman" w:cs="Times New Roman"/>
          <w:kern w:val="0"/>
          <w:sz w:val="24"/>
        </w:rPr>
      </w:pPr>
      <w:bookmarkStart w:id="0" w:name="a000"/>
      <w:r>
        <w:rPr>
          <w:rFonts w:ascii="FangSong_GB2312" w:hAnsi="FangSong_GB2312" w:eastAsia="FangSong_GB2312" w:cs="FangSong_GB2312"/>
          <w:b/>
          <w:bCs/>
          <w:kern w:val="0"/>
          <w:sz w:val="48"/>
          <w:szCs w:val="48"/>
        </w:rPr>
        <w:t>目录</w:t>
      </w:r>
    </w:p>
    <w:p w14:paraId="3CC07127">
      <w:pPr>
        <w:widowControl/>
        <w:spacing w:before="240" w:after="240"/>
        <w:jc w:val="left"/>
        <w:rPr>
          <w:rFonts w:ascii="Times New Roman" w:hAnsi="Times New Roman" w:eastAsia="Times New Roman" w:cs="Times New Roman"/>
          <w:kern w:val="0"/>
          <w:sz w:val="24"/>
        </w:rPr>
      </w:pPr>
      <w:r>
        <w:rPr>
          <w:rFonts w:ascii="Times New Roman" w:hAnsi="Times New Roman" w:eastAsia="Times New Roman" w:cs="Times New Roman"/>
          <w:b/>
          <w:bCs/>
          <w:kern w:val="0"/>
          <w:sz w:val="24"/>
        </w:rPr>
        <w:t> </w:t>
      </w:r>
    </w:p>
    <w:p w14:paraId="5ADF4D06">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第一部分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部门概况</w:t>
      </w:r>
    </w:p>
    <w:p w14:paraId="39F06759">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一、主要职能、职责</w:t>
      </w:r>
    </w:p>
    <w:p w14:paraId="3674C851">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二、部门机构设置及决算单位构成情况</w:t>
      </w:r>
    </w:p>
    <w:p w14:paraId="6DC7E094">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w:t>
      </w:r>
      <w:r>
        <w:rPr>
          <w:rFonts w:eastAsia="Times New Roman"/>
          <w:kern w:val="0"/>
          <w:sz w:val="32"/>
          <w:szCs w:val="32"/>
          <w:lang w:eastAsia="en-US"/>
        </w:rPr>
        <w:t>2025</w:t>
      </w:r>
      <w:r>
        <w:rPr>
          <w:rFonts w:ascii="FangSong_GB2312" w:hAnsi="FangSong_GB2312" w:eastAsia="FangSong_GB2312" w:cs="FangSong_GB2312"/>
          <w:kern w:val="0"/>
          <w:sz w:val="32"/>
          <w:szCs w:val="32"/>
        </w:rPr>
        <w:t>年度部门主要工作完成情况</w:t>
      </w:r>
    </w:p>
    <w:p w14:paraId="68450AE9">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第二部分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部门决算情况说明</w:t>
      </w:r>
    </w:p>
    <w:p w14:paraId="119B50E0">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一、收入支出决算总体情况说明</w:t>
      </w:r>
    </w:p>
    <w:p w14:paraId="007A9AEB">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二、收入决算情况说明</w:t>
      </w:r>
    </w:p>
    <w:p w14:paraId="4166E5DD">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三、支出决算情况说明</w:t>
      </w:r>
    </w:p>
    <w:p w14:paraId="6C61657C">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四、财政拨款收入支出决算总体情况说明</w:t>
      </w:r>
    </w:p>
    <w:p w14:paraId="28E1FDD1">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五、一般公共预算财政拨款支出决算情况说明</w:t>
      </w:r>
    </w:p>
    <w:p w14:paraId="036F5111">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六、一般公共预算财政拨款基本支出决算情况说明</w:t>
      </w:r>
    </w:p>
    <w:p w14:paraId="6B10A707">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七、一般公共预算财政拨款项目支出决算情况说明</w:t>
      </w:r>
    </w:p>
    <w:p w14:paraId="4F29988D">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八、财政拨款“三公”经费支出决算情况说明</w:t>
      </w:r>
    </w:p>
    <w:p w14:paraId="4798A846">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九、政府性基金预算财政拨款支出决算情况说明</w:t>
      </w:r>
    </w:p>
    <w:p w14:paraId="7DD05739">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十、国有资本经营预算财政拨款支出决算情况说明</w:t>
      </w:r>
    </w:p>
    <w:p w14:paraId="28707776">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十一、机关运行经费（公用经费）支出决算情况说明</w:t>
      </w:r>
    </w:p>
    <w:p w14:paraId="0AD60CEF">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十二、政府采购支出决算情况说明</w:t>
      </w:r>
    </w:p>
    <w:p w14:paraId="0151DD73">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十三、国有资产占用情况说明</w:t>
      </w:r>
    </w:p>
    <w:p w14:paraId="1DF6BA42">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十四、预算绩效情况说明</w:t>
      </w:r>
    </w:p>
    <w:p w14:paraId="01DC368A">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第三部分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名词解释</w:t>
      </w:r>
    </w:p>
    <w:p w14:paraId="6423CE26">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第四部分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决算公开联系方式及信息反馈渠道</w:t>
      </w:r>
    </w:p>
    <w:p w14:paraId="32B4CE3E">
      <w:pPr>
        <w:pStyle w:val="28"/>
        <w:widowControl/>
        <w:spacing w:before="240" w:after="240" w:line="360" w:lineRule="auto"/>
        <w:jc w:val="left"/>
        <w:rPr>
          <w:rFonts w:ascii="Times New Roman" w:hAnsi="Times New Roman" w:eastAsia="Times New Roman" w:cs="Times New Roman"/>
          <w:kern w:val="0"/>
          <w:sz w:val="24"/>
        </w:rPr>
      </w:pPr>
      <w:r>
        <w:rPr>
          <w:rFonts w:ascii="黑体" w:hAnsi="黑体" w:eastAsia="黑体" w:cs="黑体"/>
          <w:kern w:val="0"/>
          <w:sz w:val="32"/>
          <w:szCs w:val="32"/>
        </w:rPr>
        <w:t>第五部分</w:t>
      </w:r>
      <w:r>
        <w:rPr>
          <w:rFonts w:ascii="Calibri" w:hAnsi="Calibri" w:eastAsia="Calibri" w:cs="Calibri"/>
          <w:kern w:val="0"/>
          <w:sz w:val="32"/>
          <w:szCs w:val="32"/>
          <w:lang w:eastAsia="en-US"/>
        </w:rPr>
        <w:t> </w:t>
      </w:r>
      <w:r>
        <w:rPr>
          <w:rFonts w:ascii="黑体" w:hAnsi="黑体" w:eastAsia="黑体" w:cs="黑体"/>
          <w:kern w:val="0"/>
          <w:sz w:val="32"/>
          <w:szCs w:val="32"/>
          <w:lang w:eastAsia="en-US"/>
        </w:rPr>
        <w:t xml:space="preserve"> </w:t>
      </w:r>
      <w:r>
        <w:rPr>
          <w:rFonts w:ascii="黑体" w:hAnsi="黑体" w:eastAsia="黑体" w:cs="黑体"/>
          <w:kern w:val="0"/>
          <w:sz w:val="32"/>
          <w:szCs w:val="32"/>
        </w:rPr>
        <w:t>部门决算表</w:t>
      </w:r>
    </w:p>
    <w:p w14:paraId="165FD5F4">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一、收入支出决算总表</w:t>
      </w:r>
    </w:p>
    <w:p w14:paraId="0468F24E">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二、收入决算表</w:t>
      </w:r>
    </w:p>
    <w:p w14:paraId="2EE7FDAF">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三、支出决算表</w:t>
      </w:r>
    </w:p>
    <w:p w14:paraId="1A3394D9">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四、财政拨款收入支出决算总表</w:t>
      </w:r>
    </w:p>
    <w:p w14:paraId="253AFC8F">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五、一般公共预算财政拨款支出决算表</w:t>
      </w:r>
    </w:p>
    <w:p w14:paraId="0A3144CD">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六、一般公共预算财政拨款基本支出决算明细表</w:t>
      </w:r>
    </w:p>
    <w:p w14:paraId="3CD5B881">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七、一般公共预算财政拨款项目支出决算明细表</w:t>
      </w:r>
    </w:p>
    <w:p w14:paraId="15515C79">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八、政府性基金预算财政拨款收入支出决算表</w:t>
      </w:r>
    </w:p>
    <w:p w14:paraId="756DB90E">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九、国有资本经营预算财政拨款收入支出决算表</w:t>
      </w:r>
    </w:p>
    <w:p w14:paraId="39E6522B">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十、财政拨款“三公”经费支出决算表</w:t>
      </w:r>
    </w:p>
    <w:p w14:paraId="0BC7A659">
      <w:pPr>
        <w:pStyle w:val="28"/>
        <w:widowControl/>
        <w:spacing w:before="240" w:after="240" w:line="360" w:lineRule="auto"/>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十一、机关运行经费支出、国有资产占用情况及政府采购支出信息表</w:t>
      </w:r>
    </w:p>
    <w:p w14:paraId="26A56AED">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0CF05E86">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063F062E">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457AD661">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BB1D600">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33CDEB0">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303CE17">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6FB2DC99">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331E76C8">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DE9001E">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5799A282">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58A160ED">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689FE42">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24E895F">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73C39B9C">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8B034C9">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128B9606">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p>
    <w:p w14:paraId="28B68E93">
      <w:pPr>
        <w:pStyle w:val="3"/>
        <w:keepNext w:val="0"/>
        <w:keepLines w:val="0"/>
        <w:widowControl/>
        <w:spacing w:before="0" w:after="0" w:line="360" w:lineRule="auto"/>
        <w:ind w:left="0" w:right="0"/>
        <w:jc w:val="center"/>
        <w:rPr>
          <w:rFonts w:ascii="方正小标宋简体" w:hAnsi="方正小标宋简体" w:eastAsia="方正小标宋简体" w:cs="方正小标宋简体"/>
          <w:b w:val="0"/>
          <w:bCs w:val="0"/>
          <w:kern w:val="0"/>
          <w:sz w:val="36"/>
          <w:szCs w:val="36"/>
        </w:rPr>
      </w:pPr>
      <w:r>
        <w:rPr>
          <w:rFonts w:ascii="方正小标宋简体" w:hAnsi="方正小标宋简体" w:eastAsia="方正小标宋简体" w:cs="方正小标宋简体"/>
          <w:b w:val="0"/>
          <w:bCs w:val="0"/>
          <w:kern w:val="0"/>
          <w:sz w:val="36"/>
          <w:szCs w:val="36"/>
        </w:rPr>
        <w:t>第一部分</w:t>
      </w:r>
      <w:r>
        <w:rPr>
          <w:rFonts w:ascii="方正小标宋简体" w:hAnsi="方正小标宋简体" w:eastAsia="方正小标宋简体" w:cs="方正小标宋简体"/>
          <w:b w:val="0"/>
          <w:bCs w:val="0"/>
          <w:kern w:val="0"/>
          <w:sz w:val="36"/>
          <w:szCs w:val="36"/>
          <w:lang w:eastAsia="en-US"/>
        </w:rPr>
        <w:t xml:space="preserve">  </w:t>
      </w:r>
      <w:r>
        <w:rPr>
          <w:rFonts w:ascii="方正小标宋简体" w:hAnsi="方正小标宋简体" w:eastAsia="方正小标宋简体" w:cs="方正小标宋简体"/>
          <w:b w:val="0"/>
          <w:bCs w:val="0"/>
          <w:kern w:val="0"/>
          <w:sz w:val="36"/>
          <w:szCs w:val="36"/>
        </w:rPr>
        <w:t>部门概况</w:t>
      </w:r>
    </w:p>
    <w:p w14:paraId="0145AFED">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一、主要职能、职责</w:t>
      </w:r>
    </w:p>
    <w:p w14:paraId="21121292">
      <w:pPr>
        <w:pStyle w:val="28"/>
        <w:widowControl/>
        <w:spacing w:before="240" w:after="240" w:line="600" w:lineRule="atLeast"/>
        <w:ind w:firstLine="640"/>
        <w:jc w:val="left"/>
        <w:rPr>
          <w:rFonts w:ascii="Times New Roman" w:hAnsi="Times New Roman" w:eastAsia="Times New Roman" w:cs="Times New Roman"/>
          <w:color w:val="auto"/>
          <w:kern w:val="0"/>
          <w:sz w:val="24"/>
        </w:rPr>
      </w:pPr>
      <w:r>
        <w:rPr>
          <w:rFonts w:hint="eastAsia" w:ascii="FangSong_GB2312" w:hAnsi="FangSong_GB2312" w:eastAsia="FangSong_GB2312" w:cs="FangSong_GB2312"/>
          <w:color w:val="auto"/>
          <w:kern w:val="0"/>
          <w:sz w:val="32"/>
          <w:szCs w:val="32"/>
          <w:lang w:eastAsia="zh-CN"/>
        </w:rPr>
        <w:t>赤峰市松山区审计局是赤峰市松山区人民政府主管负责全区审计工作。负债对法律法规规定属于审计监督范围的财务收支电真实、合法和效益进行审计监督，维护财政经济秩序，提高财政资金使用效益，促进廉政建设，保障全区经济和社会健康发展。并负有督促被审计单位整改电责任。</w:t>
      </w:r>
    </w:p>
    <w:p w14:paraId="023C895E">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二、部门机构设置及决算单位构成情况</w:t>
      </w:r>
    </w:p>
    <w:p w14:paraId="635CC1C9">
      <w:pPr>
        <w:pStyle w:val="28"/>
        <w:widowControl/>
        <w:spacing w:before="240" w:after="240" w:line="600" w:lineRule="atLeast"/>
        <w:ind w:firstLine="640"/>
        <w:jc w:val="left"/>
        <w:rPr>
          <w:rFonts w:hint="eastAsia" w:ascii="Times New Roman" w:hAnsi="Times New Roman" w:eastAsia="FangSong_GB2312" w:cs="Times New Roman"/>
          <w:kern w:val="0"/>
          <w:sz w:val="24"/>
          <w:lang w:eastAsia="zh-CN"/>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根据部门职责分工，本部门</w:t>
      </w:r>
      <w:r>
        <w:rPr>
          <w:rFonts w:hint="eastAsia" w:ascii="FangSong_GB2312" w:hAnsi="FangSong_GB2312" w:eastAsia="FangSong_GB2312" w:cs="FangSong_GB2312"/>
          <w:kern w:val="0"/>
          <w:sz w:val="32"/>
          <w:szCs w:val="32"/>
          <w:lang w:eastAsia="zh-CN"/>
        </w:rPr>
        <w:t>属于一级预算单位</w:t>
      </w:r>
      <w:r>
        <w:rPr>
          <w:rFonts w:ascii="FangSong_GB2312" w:hAnsi="FangSong_GB2312" w:eastAsia="FangSong_GB2312" w:cs="FangSong_GB2312"/>
          <w:kern w:val="0"/>
          <w:sz w:val="32"/>
          <w:szCs w:val="32"/>
        </w:rPr>
        <w:t>。本部门</w:t>
      </w:r>
      <w:r>
        <w:rPr>
          <w:rFonts w:ascii="FangSong_GB2312" w:hAnsi="FangSong_GB2312" w:eastAsia="FangSong_GB2312" w:cs="FangSong_GB2312"/>
          <w:color w:val="auto"/>
          <w:kern w:val="0"/>
          <w:sz w:val="32"/>
          <w:szCs w:val="32"/>
        </w:rPr>
        <w:t>无</w:t>
      </w:r>
      <w:r>
        <w:rPr>
          <w:rFonts w:hint="eastAsia" w:ascii="FangSong_GB2312" w:hAnsi="FangSong_GB2312" w:eastAsia="FangSong_GB2312" w:cs="FangSong_GB2312"/>
          <w:color w:val="auto"/>
          <w:kern w:val="0"/>
          <w:sz w:val="32"/>
          <w:szCs w:val="32"/>
          <w:lang w:eastAsia="zh-CN"/>
        </w:rPr>
        <w:t>下</w:t>
      </w:r>
      <w:r>
        <w:rPr>
          <w:rFonts w:ascii="FangSong_GB2312" w:hAnsi="FangSong_GB2312" w:eastAsia="FangSong_GB2312" w:cs="FangSong_GB2312"/>
          <w:color w:val="auto"/>
          <w:kern w:val="0"/>
          <w:sz w:val="32"/>
          <w:szCs w:val="32"/>
        </w:rPr>
        <w:t>属单位</w:t>
      </w:r>
      <w:r>
        <w:rPr>
          <w:rFonts w:hint="eastAsia" w:ascii="FangSong_GB2312" w:hAnsi="FangSong_GB2312" w:eastAsia="FangSong_GB2312" w:cs="FangSong_GB2312"/>
          <w:color w:val="auto"/>
          <w:kern w:val="0"/>
          <w:sz w:val="32"/>
          <w:szCs w:val="32"/>
          <w:lang w:eastAsia="zh-CN"/>
        </w:rPr>
        <w:t>。</w:t>
      </w:r>
    </w:p>
    <w:p w14:paraId="102A93BC">
      <w:pPr>
        <w:pStyle w:val="28"/>
        <w:widowControl/>
        <w:spacing w:before="240" w:after="240" w:line="60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从决算单位构成看，纳入本部门决算编制范围的预算单位共计</w:t>
      </w:r>
      <w:r>
        <w:rPr>
          <w:rFonts w:hint="eastAsia"/>
          <w:kern w:val="0"/>
          <w:sz w:val="32"/>
          <w:szCs w:val="32"/>
          <w:u w:val="single"/>
          <w:lang w:val="en-US" w:eastAsia="zh-CN"/>
        </w:rPr>
        <w:t>1</w:t>
      </w:r>
      <w:r>
        <w:rPr>
          <w:rFonts w:ascii="FangSong_GB2312" w:hAnsi="FangSong_GB2312" w:eastAsia="FangSong_GB2312" w:cs="FangSong_GB2312"/>
          <w:kern w:val="0"/>
          <w:sz w:val="32"/>
          <w:szCs w:val="32"/>
        </w:rPr>
        <w:t>家，具体包括：</w:t>
      </w:r>
      <w:r>
        <w:rPr>
          <w:rFonts w:hint="eastAsia" w:ascii="FangSong_GB2312" w:hAnsi="FangSong_GB2312" w:eastAsia="FangSong_GB2312" w:cs="FangSong_GB2312"/>
          <w:kern w:val="0"/>
          <w:sz w:val="32"/>
          <w:szCs w:val="32"/>
          <w:lang w:eastAsia="zh-CN"/>
        </w:rPr>
        <w:t>赤峰市松山区审计局</w:t>
      </w:r>
      <w:r>
        <w:rPr>
          <w:rFonts w:ascii="FangSong_GB2312" w:hAnsi="FangSong_GB2312" w:eastAsia="FangSong_GB2312" w:cs="FangSong_GB2312"/>
          <w:kern w:val="0"/>
          <w:sz w:val="32"/>
          <w:szCs w:val="32"/>
        </w:rPr>
        <w:t>部门本级。详细情况见表：</w:t>
      </w:r>
    </w:p>
    <w:tbl>
      <w:tblPr>
        <w:tblStyle w:val="18"/>
        <w:tblW w:w="7080" w:type="dxa"/>
        <w:jc w:val="center"/>
        <w:tblLayout w:type="fixed"/>
        <w:tblCellMar>
          <w:top w:w="15" w:type="dxa"/>
          <w:left w:w="15" w:type="dxa"/>
          <w:bottom w:w="15" w:type="dxa"/>
          <w:right w:w="15" w:type="dxa"/>
        </w:tblCellMar>
      </w:tblPr>
      <w:tblGrid>
        <w:gridCol w:w="583"/>
        <w:gridCol w:w="2537"/>
        <w:gridCol w:w="3960"/>
      </w:tblGrid>
      <w:tr w14:paraId="798C0753">
        <w:tblPrEx>
          <w:tblCellMar>
            <w:top w:w="15" w:type="dxa"/>
            <w:left w:w="15" w:type="dxa"/>
            <w:bottom w:w="15" w:type="dxa"/>
            <w:right w:w="15" w:type="dxa"/>
          </w:tblCellMar>
        </w:tblPrEx>
        <w:trPr>
          <w:trHeight w:val="459" w:hRule="atLeast"/>
          <w:tblHeader/>
          <w:jc w:val="center"/>
        </w:trPr>
        <w:tc>
          <w:tcPr>
            <w:tcW w:w="583"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68C6DC3D">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序号</w:t>
            </w:r>
          </w:p>
        </w:tc>
        <w:tc>
          <w:tcPr>
            <w:tcW w:w="2537"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4A333C2B">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单位名称</w:t>
            </w:r>
          </w:p>
        </w:tc>
        <w:tc>
          <w:tcPr>
            <w:tcW w:w="3960"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2191465A">
            <w:pPr>
              <w:widowControl/>
              <w:jc w:val="center"/>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单位性质</w:t>
            </w:r>
          </w:p>
        </w:tc>
      </w:tr>
      <w:tr w14:paraId="6E45BEA5">
        <w:tblPrEx>
          <w:tblCellMar>
            <w:top w:w="15" w:type="dxa"/>
            <w:left w:w="15" w:type="dxa"/>
            <w:bottom w:w="15" w:type="dxa"/>
            <w:right w:w="15" w:type="dxa"/>
          </w:tblCellMar>
        </w:tblPrEx>
        <w:trPr>
          <w:trHeight w:val="368" w:hRule="atLeast"/>
          <w:jc w:val="center"/>
        </w:trPr>
        <w:tc>
          <w:tcPr>
            <w:tcW w:w="583"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3A3A7289">
            <w:pPr>
              <w:widowControl/>
              <w:jc w:val="center"/>
              <w:rPr>
                <w:rFonts w:ascii="Times New Roman" w:hAnsi="Times New Roman" w:eastAsia="Times New Roman" w:cs="Times New Roman"/>
                <w:b w:val="0"/>
                <w:bCs w:val="0"/>
                <w:i w:val="0"/>
                <w:iCs w:val="0"/>
                <w:smallCaps w:val="0"/>
                <w:color w:val="000000"/>
                <w:kern w:val="0"/>
                <w:sz w:val="24"/>
              </w:rPr>
            </w:pPr>
            <w:r>
              <w:rPr>
                <w:rFonts w:eastAsia="Times New Roman"/>
                <w:b w:val="0"/>
                <w:bCs w:val="0"/>
                <w:i w:val="0"/>
                <w:iCs w:val="0"/>
                <w:smallCaps w:val="0"/>
                <w:color w:val="000000"/>
                <w:kern w:val="0"/>
                <w:sz w:val="24"/>
              </w:rPr>
              <w:t>1</w:t>
            </w:r>
          </w:p>
        </w:tc>
        <w:tc>
          <w:tcPr>
            <w:tcW w:w="2537"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3A0182CC">
            <w:pPr>
              <w:widowControl/>
              <w:jc w:val="left"/>
              <w:rPr>
                <w:rFonts w:ascii="Times New Roman" w:hAnsi="Times New Roman" w:eastAsia="Times New Roman" w:cs="Times New Roman"/>
                <w:b w:val="0"/>
                <w:bCs w:val="0"/>
                <w:i w:val="0"/>
                <w:iCs w:val="0"/>
                <w:smallCaps w:val="0"/>
                <w:color w:val="000000"/>
                <w:kern w:val="0"/>
                <w:sz w:val="24"/>
              </w:rPr>
            </w:pPr>
            <w:r>
              <w:rPr>
                <w:rFonts w:hint="eastAsia" w:ascii="FangSong_GB2312" w:hAnsi="FangSong_GB2312" w:eastAsia="FangSong_GB2312" w:cs="FangSong_GB2312"/>
                <w:b w:val="0"/>
                <w:bCs w:val="0"/>
                <w:i w:val="0"/>
                <w:iCs w:val="0"/>
                <w:smallCaps w:val="0"/>
                <w:color w:val="000000"/>
                <w:kern w:val="0"/>
                <w:sz w:val="24"/>
                <w:lang w:eastAsia="zh-CN"/>
              </w:rPr>
              <w:t>赤峰市松山区审计局</w:t>
            </w:r>
          </w:p>
        </w:tc>
        <w:tc>
          <w:tcPr>
            <w:tcW w:w="3960"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43657AC8">
            <w:pPr>
              <w:widowControl/>
              <w:jc w:val="left"/>
              <w:rPr>
                <w:rFonts w:ascii="Times New Roman" w:hAnsi="Times New Roman" w:eastAsia="Times New Roman" w:cs="Times New Roman"/>
                <w:b w:val="0"/>
                <w:bCs w:val="0"/>
                <w:i w:val="0"/>
                <w:iCs w:val="0"/>
                <w:smallCaps w:val="0"/>
                <w:color w:val="000000"/>
                <w:kern w:val="0"/>
                <w:sz w:val="24"/>
              </w:rPr>
            </w:pPr>
            <w:r>
              <w:rPr>
                <w:rFonts w:ascii="FangSong_GB2312" w:hAnsi="FangSong_GB2312" w:eastAsia="FangSong_GB2312" w:cs="FangSong_GB2312"/>
                <w:b w:val="0"/>
                <w:bCs w:val="0"/>
                <w:i w:val="0"/>
                <w:iCs w:val="0"/>
                <w:smallCaps w:val="0"/>
                <w:color w:val="000000"/>
                <w:kern w:val="0"/>
                <w:sz w:val="24"/>
              </w:rPr>
              <w:t>行政单位</w:t>
            </w:r>
          </w:p>
        </w:tc>
      </w:tr>
    </w:tbl>
    <w:p w14:paraId="02896C6B">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w:t>
      </w:r>
      <w:r>
        <w:rPr>
          <w:rFonts w:eastAsia="Times New Roman"/>
          <w:b/>
          <w:bCs/>
          <w:kern w:val="0"/>
          <w:sz w:val="32"/>
          <w:szCs w:val="32"/>
          <w:lang w:eastAsia="en-US"/>
        </w:rPr>
        <w:t>2025</w:t>
      </w:r>
      <w:r>
        <w:rPr>
          <w:rFonts w:ascii="黑体" w:hAnsi="黑体" w:eastAsia="黑体" w:cs="黑体"/>
          <w:b/>
          <w:bCs/>
          <w:kern w:val="0"/>
          <w:sz w:val="32"/>
          <w:szCs w:val="32"/>
        </w:rPr>
        <w:t>年度部门（单位）主要工作完成情况</w:t>
      </w:r>
    </w:p>
    <w:p w14:paraId="434F9B45">
      <w:pPr>
        <w:ind w:firstLine="640" w:firstLineChars="200"/>
        <w:jc w:val="both"/>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rPr>
        <w:t>是“十四五”规划收官之年，也是全国审计系统“科学规范提升年”、内蒙古审计“标志性成果打造年”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松山区审计局深入学习贯彻习近平新时代中国特色社会主义思想，坚持党对审计工作领导，以铸牢中华民族共同体意识为主线，</w:t>
      </w:r>
      <w:r>
        <w:rPr>
          <w:rFonts w:hint="eastAsia" w:ascii="仿宋_GB2312" w:hAnsi="仿宋_GB2312" w:eastAsia="仿宋_GB2312" w:cs="仿宋_GB2312"/>
          <w:sz w:val="32"/>
          <w:szCs w:val="32"/>
        </w:rPr>
        <w:t>紧扣区委、区政府“打头阵、争先锋”目标，围绕自治区“五大任务”、落实“六个工程”“六个行动”及赤峰市“十大行动”，立足经济监督定位，以“本届科级领导班子审计全覆盖”为核心，精准聚焦干部权力运行，创新审计模式，强化成果转化，</w:t>
      </w:r>
      <w:r>
        <w:rPr>
          <w:rFonts w:hint="eastAsia" w:ascii="仿宋_GB2312" w:hAnsi="仿宋_GB2312" w:eastAsia="仿宋_GB2312" w:cs="仿宋_GB2312"/>
          <w:color w:val="000000"/>
          <w:sz w:val="32"/>
          <w:szCs w:val="32"/>
        </w:rPr>
        <w:t>在干部管理监督、规范权力运行、推进反腐倡廉、促进财政资金提质增效等方面发挥</w:t>
      </w:r>
      <w:r>
        <w:rPr>
          <w:rFonts w:hint="eastAsia" w:ascii="仿宋_GB2312" w:hAnsi="仿宋_GB2312" w:eastAsia="仿宋_GB2312" w:cs="仿宋_GB2312"/>
          <w:color w:val="000000"/>
          <w:sz w:val="32"/>
          <w:szCs w:val="32"/>
          <w:lang w:val="en-US" w:eastAsia="zh-CN"/>
        </w:rPr>
        <w:t>了审计监督</w:t>
      </w:r>
      <w:r>
        <w:rPr>
          <w:rFonts w:hint="eastAsia" w:ascii="仿宋_GB2312" w:hAnsi="仿宋_GB2312" w:eastAsia="仿宋_GB2312" w:cs="仿宋_GB2312"/>
          <w:color w:val="000000"/>
          <w:sz w:val="32"/>
          <w:szCs w:val="32"/>
        </w:rPr>
        <w:t>重要作用</w:t>
      </w:r>
      <w:r>
        <w:rPr>
          <w:rFonts w:hint="eastAsia" w:ascii="仿宋_GB2312" w:hAnsi="仿宋_GB2312" w:eastAsia="仿宋_GB2312" w:cs="仿宋_GB2312"/>
          <w:color w:val="000000"/>
          <w:sz w:val="32"/>
          <w:szCs w:val="32"/>
          <w:lang w:eastAsia="zh-CN"/>
        </w:rPr>
        <w:t>。</w:t>
      </w:r>
    </w:p>
    <w:p w14:paraId="7C921564">
      <w:pPr>
        <w:ind w:firstLine="640" w:firstLineChars="200"/>
        <w:jc w:val="both"/>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一、落实审委会办公室职责及局党组主体责任，规范审计监督运转体制，持续加强党对审计的领导</w:t>
      </w:r>
    </w:p>
    <w:p w14:paraId="3DE263FC">
      <w:pPr>
        <w:ind w:firstLine="640" w:firstLineChars="200"/>
        <w:jc w:val="both"/>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一是牢牢把握审计工作政治属性</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始终把不折不扣学习贯彻习近平总书记关于审计工作的重要讲话重要指示批示精神作为重大政治责任和首要政治任务，</w:t>
      </w:r>
      <w:r>
        <w:rPr>
          <w:rFonts w:hint="eastAsia" w:ascii="仿宋_GB2312" w:hAnsi="仿宋_GB2312" w:eastAsia="仿宋_GB2312" w:cs="仿宋_GB2312"/>
          <w:color w:val="auto"/>
          <w:sz w:val="32"/>
          <w:szCs w:val="32"/>
          <w:lang w:val="en-US" w:eastAsia="zh-CN"/>
        </w:rPr>
        <w:t>第一时间召开区委审计委员会会议传达学习，研究贯彻落实意见，将学习成效转化为推动审计工作高质量发展的强大动力，</w:t>
      </w:r>
      <w:r>
        <w:rPr>
          <w:rFonts w:hint="eastAsia" w:ascii="仿宋_GB2312" w:hAnsi="仿宋_GB2312" w:eastAsia="仿宋_GB2312" w:cs="仿宋_GB2312"/>
          <w:sz w:val="32"/>
          <w:szCs w:val="32"/>
        </w:rPr>
        <w:t>做到重大政策部署到哪里，审计监督就跟进到哪里。</w:t>
      </w:r>
    </w:p>
    <w:p w14:paraId="183595F1">
      <w:pPr>
        <w:ind w:firstLine="640" w:firstLineChars="200"/>
        <w:jc w:val="both"/>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二是深化融合共建提升党建工作质量</w:t>
      </w:r>
      <w:r>
        <w:rPr>
          <w:rFonts w:hint="eastAsia" w:ascii="仿宋_GB2312" w:hAnsi="仿宋_GB2312" w:eastAsia="仿宋_GB2312" w:cs="仿宋_GB2312"/>
          <w:sz w:val="32"/>
          <w:szCs w:val="32"/>
          <w:lang w:val="en-US" w:eastAsia="zh-CN"/>
        </w:rPr>
        <w:t>。结合审计业务特点，加强与</w:t>
      </w:r>
      <w:r>
        <w:rPr>
          <w:rFonts w:hint="eastAsia" w:ascii="仿宋_GB2312" w:hAnsi="仿宋_GB2312" w:eastAsia="仿宋_GB2312" w:cs="仿宋_GB2312"/>
          <w:sz w:val="32"/>
          <w:szCs w:val="32"/>
          <w:highlight w:val="none"/>
          <w:lang w:val="en-US" w:eastAsia="zh-CN"/>
        </w:rPr>
        <w:t>纪检</w:t>
      </w:r>
      <w:r>
        <w:rPr>
          <w:rFonts w:hint="eastAsia" w:ascii="仿宋_GB2312" w:hAnsi="仿宋_GB2312" w:eastAsia="仿宋_GB2312" w:cs="仿宋_GB2312"/>
          <w:sz w:val="32"/>
          <w:szCs w:val="32"/>
          <w:lang w:val="en-US" w:eastAsia="zh-CN"/>
        </w:rPr>
        <w:t>、巡察的融合共建，通过审前、审中共同开展“三会一课”集中学习，畅通派驻同一单位的巡察组、审计组之间的沟通渠道，推动形成线索通报、成果共享的同步监督模式。</w:t>
      </w:r>
    </w:p>
    <w:p w14:paraId="36B79CEA">
      <w:pPr>
        <w:ind w:firstLine="640" w:firstLineChars="200"/>
        <w:jc w:val="both"/>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三是从严管理干部队伍深化党风廉政及作风建设</w:t>
      </w:r>
      <w:r>
        <w:rPr>
          <w:rFonts w:hint="eastAsia" w:ascii="仿宋_GB2312" w:hAnsi="仿宋_GB2312" w:eastAsia="仿宋_GB2312" w:cs="仿宋_GB2312"/>
          <w:sz w:val="32"/>
          <w:szCs w:val="32"/>
          <w:lang w:val="en-US" w:eastAsia="zh-CN"/>
        </w:rPr>
        <w:t>。以深入贯彻中央八项规定精神学习教育</w:t>
      </w:r>
      <w:bookmarkStart w:id="1" w:name="_GoBack"/>
      <w:bookmarkEnd w:id="1"/>
      <w:r>
        <w:rPr>
          <w:rFonts w:hint="eastAsia" w:ascii="仿宋_GB2312" w:hAnsi="仿宋_GB2312" w:eastAsia="仿宋_GB2312" w:cs="仿宋_GB2312"/>
          <w:sz w:val="32"/>
          <w:szCs w:val="32"/>
          <w:lang w:val="en-US" w:eastAsia="zh-CN"/>
        </w:rPr>
        <w:t>为抓手，</w:t>
      </w:r>
      <w:r>
        <w:rPr>
          <w:rFonts w:hint="eastAsia" w:ascii="仿宋_GB2312" w:hAnsi="仿宋_GB2312" w:eastAsia="仿宋_GB2312" w:cs="仿宋_GB2312"/>
          <w:i w:val="0"/>
          <w:iCs w:val="0"/>
          <w:caps w:val="0"/>
          <w:color w:val="000000"/>
          <w:spacing w:val="0"/>
          <w:kern w:val="0"/>
          <w:sz w:val="32"/>
          <w:szCs w:val="32"/>
          <w:shd w:val="clear" w:color="auto" w:fill="auto"/>
          <w:lang w:val="en-US" w:eastAsia="zh-CN" w:bidi="ar"/>
        </w:rPr>
        <w:t>强化学习、深入查摆、扎实整改</w:t>
      </w:r>
      <w:r>
        <w:rPr>
          <w:rFonts w:hint="eastAsia" w:ascii="仿宋_GB2312" w:hAnsi="仿宋_GB2312" w:eastAsia="仿宋_GB2312" w:cs="仿宋_GB2312"/>
          <w:sz w:val="32"/>
          <w:szCs w:val="32"/>
          <w:lang w:val="en-US" w:eastAsia="zh-CN"/>
        </w:rPr>
        <w:t>、长效管理，常态化开展好警示教育工作，推动机关干部提高政治站位、持续转变工作作风。</w:t>
      </w:r>
    </w:p>
    <w:p w14:paraId="054D3CCA">
      <w:pPr>
        <w:ind w:firstLine="640" w:firstLineChars="200"/>
        <w:jc w:val="both"/>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四是落实铸牢中华民族共同体意识主线工作要求</w:t>
      </w:r>
      <w:r>
        <w:rPr>
          <w:rFonts w:hint="eastAsia" w:ascii="仿宋_GB2312" w:hAnsi="仿宋_GB2312" w:eastAsia="仿宋_GB2312" w:cs="仿宋_GB2312"/>
          <w:sz w:val="32"/>
          <w:szCs w:val="32"/>
          <w:lang w:val="en-US" w:eastAsia="zh-CN"/>
        </w:rPr>
        <w:t>。党组研究推进修订“三定方案”主要职责，将铸牢中华民族共同体意识作为党组“第一议题”、党组理论中心组重要内容开展专题学习研讨，作为审前培训重要内容要求各审计小组学习掌握。</w:t>
      </w:r>
    </w:p>
    <w:p w14:paraId="29234CB9">
      <w:pPr>
        <w:ind w:firstLine="640" w:firstLineChars="200"/>
        <w:jc w:val="both"/>
        <w:rPr>
          <w:rFonts w:hint="eastAsia" w:ascii="仿宋" w:hAnsi="仿宋" w:eastAsia="仿宋" w:cs="仿宋"/>
          <w:sz w:val="32"/>
          <w:szCs w:val="32"/>
          <w:lang w:val="en-US" w:eastAsia="zh-CN"/>
        </w:rPr>
      </w:pPr>
      <w:r>
        <w:rPr>
          <w:rFonts w:hint="eastAsia" w:ascii="楷体_GB2312" w:hAnsi="楷体_GB2312" w:eastAsia="楷体_GB2312" w:cs="楷体_GB2312"/>
          <w:sz w:val="32"/>
          <w:szCs w:val="32"/>
          <w:lang w:val="en-US" w:eastAsia="zh-CN"/>
        </w:rPr>
        <w:t>五是落实意识形态和网络意识形态主体责任</w:t>
      </w:r>
      <w:r>
        <w:rPr>
          <w:rFonts w:hint="eastAsia" w:ascii="仿宋_GB2312" w:hAnsi="仿宋_GB2312" w:eastAsia="仿宋_GB2312" w:cs="仿宋_GB2312"/>
          <w:sz w:val="32"/>
          <w:szCs w:val="32"/>
          <w:lang w:val="en-US" w:eastAsia="zh-CN"/>
        </w:rPr>
        <w:t>。党组定期传达学习意识形态和网络意识形态领域新政策、新任务、新要求，年初安排、年中研判、年末总结意识形态和网络意识形态领域工作，分析研判风险点</w:t>
      </w:r>
      <w:r>
        <w:rPr>
          <w:rFonts w:hint="eastAsia" w:ascii="仿宋_GB2312" w:hAnsi="仿宋_GB2312" w:cs="仿宋_GB2312"/>
          <w:sz w:val="32"/>
          <w:szCs w:val="32"/>
          <w:lang w:val="en-US" w:eastAsia="zh-CN"/>
        </w:rPr>
        <w:t>。</w:t>
      </w:r>
      <w:r>
        <w:rPr>
          <w:rFonts w:hint="eastAsia" w:ascii="仿宋" w:hAnsi="仿宋" w:eastAsia="仿宋" w:cs="仿宋"/>
          <w:sz w:val="32"/>
          <w:szCs w:val="32"/>
          <w:lang w:val="en-US" w:eastAsia="zh-CN"/>
        </w:rPr>
        <w:t>在落实审计监督责任的同时保持抓好意识形态和网络意识形态工作的紧迫意识。</w:t>
      </w:r>
    </w:p>
    <w:p w14:paraId="2B021319">
      <w:pPr>
        <w:ind w:firstLine="640" w:firstLineChars="200"/>
        <w:jc w:val="both"/>
        <w:rPr>
          <w:rFonts w:hint="eastAsia" w:ascii="仿宋_GB2312" w:hAnsi="仿宋_GB2312" w:cs="仿宋_GB2312"/>
          <w:sz w:val="32"/>
          <w:szCs w:val="32"/>
          <w:lang w:val="en-US" w:eastAsia="zh-CN"/>
        </w:rPr>
      </w:pPr>
      <w:r>
        <w:rPr>
          <w:rFonts w:hint="eastAsia" w:ascii="楷体_GB2312" w:hAnsi="楷体_GB2312" w:eastAsia="楷体_GB2312" w:cs="楷体_GB2312"/>
          <w:sz w:val="32"/>
          <w:szCs w:val="32"/>
          <w:lang w:val="en-US" w:eastAsia="zh-CN"/>
        </w:rPr>
        <w:t>六是完善制度推动依法从严执审</w:t>
      </w:r>
      <w:r>
        <w:rPr>
          <w:rFonts w:hint="eastAsia" w:ascii="仿宋_GB2312" w:hAnsi="仿宋_GB2312" w:eastAsia="仿宋_GB2312" w:cs="仿宋_GB2312"/>
          <w:sz w:val="32"/>
          <w:szCs w:val="32"/>
          <w:lang w:val="en-US" w:eastAsia="zh-CN"/>
        </w:rPr>
        <w:t>。修订机关“三定方案”，将“坚持把铸牢中华民族共同体意识作为全区审计业务相关工作主线，贯穿于全区审计业务全过程各方面”加入主要职责，梳理重大事项请示报告清单，规范重大事项请示报告内容和流程，及时召开审计委员会会议，严格履行审计项目计划制定、调整、重要报告请示报告等议事规则和执法程序</w:t>
      </w:r>
      <w:r>
        <w:rPr>
          <w:rFonts w:hint="eastAsia" w:ascii="仿宋_GB2312" w:hAnsi="仿宋_GB2312" w:cs="仿宋_GB2312"/>
          <w:sz w:val="32"/>
          <w:szCs w:val="32"/>
          <w:lang w:val="en-US" w:eastAsia="zh-CN"/>
        </w:rPr>
        <w:t>。</w:t>
      </w:r>
    </w:p>
    <w:p w14:paraId="460C91C1">
      <w:pPr>
        <w:ind w:firstLine="640" w:firstLineChars="200"/>
        <w:jc w:val="both"/>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sz w:val="32"/>
          <w:szCs w:val="32"/>
          <w:lang w:val="en-US" w:eastAsia="zh-CN"/>
        </w:rPr>
        <w:t>七是推进审计监督与其他监督贯通协同深化审计成果运用。</w:t>
      </w:r>
      <w:r>
        <w:rPr>
          <w:rFonts w:hint="eastAsia" w:ascii="仿宋_GB2312" w:hAnsi="仿宋_GB2312" w:eastAsia="仿宋_GB2312" w:cs="仿宋_GB2312"/>
          <w:color w:val="auto"/>
          <w:sz w:val="32"/>
          <w:szCs w:val="32"/>
          <w:lang w:val="en-US" w:eastAsia="zh-CN"/>
        </w:rPr>
        <w:t>推动审计监督与人大监督、纪检监察、巡视巡察、组织人事等其他监督贯通协同，推动各类监督在深化审计成果运用上相向而行、同向发力。</w:t>
      </w:r>
    </w:p>
    <w:p w14:paraId="187C082C">
      <w:pPr>
        <w:ind w:firstLine="640" w:firstLineChars="200"/>
        <w:jc w:val="both"/>
        <w:rPr>
          <w:rFonts w:hint="eastAsia" w:ascii="仿宋_GB2312" w:hAnsi="仿宋_GB2312" w:eastAsia="仿宋_GB2312" w:cs="仿宋_GB2312"/>
          <w:i w:val="0"/>
          <w:iCs w:val="0"/>
          <w:caps w:val="0"/>
          <w:color w:val="000000"/>
          <w:spacing w:val="0"/>
          <w:sz w:val="32"/>
          <w:szCs w:val="32"/>
          <w:shd w:val="clear" w:color="auto" w:fill="auto"/>
          <w:lang w:val="en-US" w:eastAsia="zh-CN"/>
        </w:rPr>
      </w:pPr>
      <w:r>
        <w:rPr>
          <w:rFonts w:hint="eastAsia" w:ascii="楷体_GB2312" w:hAnsi="楷体_GB2312" w:eastAsia="楷体_GB2312" w:cs="楷体_GB2312"/>
          <w:sz w:val="32"/>
          <w:szCs w:val="32"/>
          <w:lang w:val="en-US" w:eastAsia="zh-CN"/>
        </w:rPr>
        <w:t>八是在开展主责主业中落实国家安全主体责任</w:t>
      </w:r>
      <w:r>
        <w:rPr>
          <w:rFonts w:hint="eastAsia" w:ascii="仿宋" w:hAnsi="仿宋" w:eastAsia="仿宋" w:cs="仿宋"/>
          <w:sz w:val="32"/>
          <w:szCs w:val="32"/>
          <w:lang w:val="en-US" w:eastAsia="zh-CN"/>
        </w:rPr>
        <w:t>。成立领导小组，主要领导牵头、分管领导分领域配合，将落实总体国家安全观、确保国家安全工作有效开展作为审计监督具体内容，对全年被审计单位开展监督。对全体干部职工开展总体国家安全观培训，明确责任义务，</w:t>
      </w:r>
      <w:r>
        <w:rPr>
          <w:rFonts w:hint="eastAsia" w:ascii="仿宋_GB2312" w:hAnsi="仿宋_GB2312" w:eastAsia="仿宋_GB2312" w:cs="仿宋_GB2312"/>
          <w:i w:val="0"/>
          <w:iCs w:val="0"/>
          <w:caps w:val="0"/>
          <w:color w:val="000000"/>
          <w:spacing w:val="0"/>
          <w:sz w:val="32"/>
          <w:szCs w:val="32"/>
          <w:shd w:val="clear" w:color="auto" w:fill="auto"/>
          <w:lang w:val="en-US" w:eastAsia="zh-CN"/>
        </w:rPr>
        <w:t>具体工作中，要求各审计组确保数据安全，保守工作秘密，坚决防止出现危害国家安全行为。</w:t>
      </w:r>
    </w:p>
    <w:p w14:paraId="2C8DAB7C">
      <w:pPr>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二、围绕重大资金、重点项目、重要岗位，通过“全覆盖”形成震慑效应</w:t>
      </w:r>
    </w:p>
    <w:p w14:paraId="17CA44D8">
      <w:pPr>
        <w:ind w:firstLine="640" w:firstLineChars="200"/>
        <w:jc w:val="both"/>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2025年度</w:t>
      </w:r>
      <w:r>
        <w:rPr>
          <w:rFonts w:hint="eastAsia" w:ascii="Times New Roman" w:hAnsi="Times New Roman" w:eastAsia="仿宋_GB2312" w:cs="Times New Roman"/>
          <w:sz w:val="32"/>
          <w:szCs w:val="32"/>
          <w:lang w:val="en-US" w:eastAsia="zh-CN"/>
        </w:rPr>
        <w:t>，区审计委员会办公室、区审计局以实现“本届</w:t>
      </w:r>
      <w:r>
        <w:rPr>
          <w:rFonts w:hint="eastAsia" w:ascii="仿宋_GB2312" w:hAnsi="仿宋_GB2312" w:eastAsia="仿宋_GB2312" w:cs="仿宋_GB2312"/>
          <w:sz w:val="32"/>
          <w:szCs w:val="32"/>
          <w:lang w:val="en-US" w:eastAsia="zh-CN"/>
        </w:rPr>
        <w:t>科级领导班子审计全覆盖为目标</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重点围绕</w:t>
      </w:r>
      <w:r>
        <w:rPr>
          <w:rFonts w:hint="eastAsia" w:ascii="Times New Roman" w:hAnsi="Times New Roman" w:eastAsia="仿宋_GB2312" w:cs="Times New Roman"/>
          <w:sz w:val="32"/>
          <w:szCs w:val="32"/>
          <w:lang w:val="en-US" w:eastAsia="zh-CN"/>
        </w:rPr>
        <w:t>财政财务、政策落实、项目投资、民生、经责、资源环境等</w:t>
      </w:r>
      <w:r>
        <w:rPr>
          <w:rFonts w:hint="default" w:ascii="Times New Roman" w:hAnsi="Times New Roman" w:eastAsia="仿宋_GB2312" w:cs="Times New Roman"/>
          <w:sz w:val="32"/>
          <w:szCs w:val="32"/>
        </w:rPr>
        <w:t>方面</w:t>
      </w:r>
      <w:r>
        <w:rPr>
          <w:rFonts w:hint="eastAsia" w:ascii="Times New Roman" w:hAnsi="Times New Roman" w:eastAsia="仿宋_GB2312" w:cs="Times New Roman"/>
          <w:sz w:val="32"/>
          <w:szCs w:val="32"/>
          <w:lang w:val="en-US" w:eastAsia="zh-CN"/>
        </w:rPr>
        <w:t>安排了7类54</w:t>
      </w:r>
      <w:r>
        <w:rPr>
          <w:rFonts w:hint="default" w:ascii="Times New Roman" w:hAnsi="Times New Roman" w:eastAsia="仿宋_GB2312" w:cs="Times New Roman"/>
          <w:sz w:val="32"/>
          <w:szCs w:val="32"/>
        </w:rPr>
        <w:t>个审计项目</w:t>
      </w:r>
      <w:r>
        <w:rPr>
          <w:rFonts w:hint="eastAsia" w:ascii="Times New Roman" w:hAnsi="Times New Roman" w:eastAsia="仿宋_GB2312" w:cs="Times New Roman"/>
          <w:sz w:val="32"/>
          <w:szCs w:val="32"/>
          <w:lang w:val="en-US" w:eastAsia="zh-CN"/>
        </w:rPr>
        <w:t>和8个固定资产投资跟踪审计。</w:t>
      </w:r>
    </w:p>
    <w:p w14:paraId="3BBA7925">
      <w:pPr>
        <w:ind w:firstLine="640" w:firstLineChars="200"/>
        <w:jc w:val="both"/>
        <w:rPr>
          <w:rFonts w:hint="eastAsia" w:ascii="Times New Roman" w:hAnsi="Times New Roman" w:eastAsia="仿宋_GB2312" w:cs="Times New Roman"/>
          <w:sz w:val="32"/>
          <w:szCs w:val="32"/>
          <w:lang w:val="en-US" w:eastAsia="zh-CN"/>
        </w:rPr>
      </w:pPr>
      <w:r>
        <w:rPr>
          <w:rFonts w:hint="eastAsia" w:ascii="楷体_GB2312" w:hAnsi="楷体_GB2312" w:eastAsia="楷体_GB2312" w:cs="楷体_GB2312"/>
          <w:sz w:val="32"/>
          <w:szCs w:val="32"/>
          <w:lang w:val="en-US" w:eastAsia="zh-CN"/>
        </w:rPr>
        <w:t>（一）防范财政财务风险做好预决算及财政财务收支审计</w:t>
      </w:r>
      <w:r>
        <w:rPr>
          <w:rFonts w:hint="eastAsia" w:ascii="Times New Roman" w:hAnsi="Times New Roman" w:eastAsia="仿宋_GB2312" w:cs="Times New Roman"/>
          <w:sz w:val="32"/>
          <w:szCs w:val="32"/>
          <w:lang w:val="en-US" w:eastAsia="zh-CN"/>
        </w:rPr>
        <w:t>。年初安排的预算执行、财政决算、和其他财政收支审计项目14个，已全部完成，审计查出问题97个，涉及问题资金7.73亿元，提出审计建议25条。</w:t>
      </w:r>
    </w:p>
    <w:p w14:paraId="391FA91B">
      <w:pPr>
        <w:ind w:firstLine="640" w:firstLineChars="200"/>
        <w:jc w:val="both"/>
        <w:rPr>
          <w:rFonts w:hint="eastAsia" w:ascii="Times New Roman" w:hAnsi="Times New Roman" w:eastAsia="仿宋_GB2312" w:cs="Times New Roman"/>
          <w:sz w:val="32"/>
          <w:szCs w:val="32"/>
          <w:highlight w:val="none"/>
          <w:lang w:val="en-US" w:eastAsia="zh-CN"/>
        </w:rPr>
      </w:pPr>
      <w:r>
        <w:rPr>
          <w:rFonts w:hint="eastAsia" w:ascii="楷体_GB2312" w:hAnsi="楷体_GB2312" w:eastAsia="楷体_GB2312" w:cs="楷体_GB2312"/>
          <w:sz w:val="32"/>
          <w:szCs w:val="32"/>
          <w:lang w:val="en-US" w:eastAsia="zh-CN"/>
        </w:rPr>
        <w:t>（二）规范干部</w:t>
      </w:r>
      <w:r>
        <w:rPr>
          <w:rFonts w:hint="eastAsia" w:ascii="楷体_GB2312" w:hAnsi="楷体_GB2312" w:eastAsia="楷体_GB2312" w:cs="楷体_GB2312"/>
          <w:sz w:val="32"/>
          <w:szCs w:val="32"/>
          <w:highlight w:val="none"/>
          <w:lang w:val="en-US" w:eastAsia="zh-CN"/>
        </w:rPr>
        <w:t>权力</w:t>
      </w:r>
      <w:r>
        <w:rPr>
          <w:rFonts w:hint="eastAsia" w:ascii="楷体_GB2312" w:hAnsi="楷体_GB2312" w:eastAsia="楷体_GB2312" w:cs="楷体_GB2312"/>
          <w:sz w:val="32"/>
          <w:szCs w:val="32"/>
          <w:lang w:val="en-US" w:eastAsia="zh-CN"/>
        </w:rPr>
        <w:t>运行做好经责和自然资源资产审计</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val="en-US" w:eastAsia="zh-CN"/>
        </w:rPr>
        <w:t>坚持以任中审计为主，实行党政同责同审，对重点领域、重点部门、重大资金主管部门党政正职</w:t>
      </w:r>
      <w:r>
        <w:rPr>
          <w:rFonts w:hint="eastAsia" w:ascii="Times New Roman" w:hAnsi="Times New Roman" w:eastAsia="仿宋_GB2312" w:cs="Times New Roman"/>
          <w:sz w:val="32"/>
          <w:szCs w:val="32"/>
          <w:lang w:val="en-US" w:eastAsia="zh-CN"/>
        </w:rPr>
        <w:t>及事业单位主要负责人</w:t>
      </w:r>
      <w:r>
        <w:rPr>
          <w:rFonts w:hint="default" w:ascii="Times New Roman" w:hAnsi="Times New Roman" w:eastAsia="仿宋_GB2312" w:cs="Times New Roman"/>
          <w:sz w:val="32"/>
          <w:szCs w:val="32"/>
          <w:lang w:val="en-US" w:eastAsia="zh-CN"/>
        </w:rPr>
        <w:t>履职用权开展审计，实现</w:t>
      </w:r>
      <w:r>
        <w:rPr>
          <w:rFonts w:hint="eastAsia" w:ascii="Times New Roman" w:hAnsi="Times New Roman" w:eastAsia="仿宋_GB2312" w:cs="Times New Roman"/>
          <w:sz w:val="32"/>
          <w:szCs w:val="32"/>
          <w:lang w:val="en-US" w:eastAsia="zh-CN"/>
        </w:rPr>
        <w:t>本届党委任期内</w:t>
      </w:r>
      <w:r>
        <w:rPr>
          <w:rFonts w:hint="default" w:ascii="Times New Roman" w:hAnsi="Times New Roman" w:eastAsia="仿宋_GB2312" w:cs="Times New Roman"/>
          <w:sz w:val="32"/>
          <w:szCs w:val="32"/>
          <w:lang w:val="en-US" w:eastAsia="zh-CN"/>
        </w:rPr>
        <w:t>科级领导班子全覆盖</w:t>
      </w:r>
      <w:r>
        <w:rPr>
          <w:rFonts w:hint="eastAsia" w:ascii="Times New Roman" w:hAnsi="Times New Roman" w:eastAsia="仿宋_GB2312" w:cs="Times New Roman"/>
          <w:sz w:val="32"/>
          <w:szCs w:val="32"/>
          <w:lang w:val="en-US" w:eastAsia="zh-CN"/>
        </w:rPr>
        <w:t>。安排的</w:t>
      </w:r>
      <w:r>
        <w:rPr>
          <w:rFonts w:hint="default" w:ascii="Times New Roman" w:hAnsi="Times New Roman" w:eastAsia="仿宋_GB2312" w:cs="Times New Roman"/>
          <w:sz w:val="32"/>
          <w:szCs w:val="32"/>
          <w:highlight w:val="none"/>
          <w:lang w:val="en-US" w:eastAsia="zh-CN"/>
        </w:rPr>
        <w:t>3个乡镇、2个街道、</w:t>
      </w:r>
      <w:r>
        <w:rPr>
          <w:rFonts w:hint="eastAsia" w:ascii="Times New Roman" w:hAnsi="Times New Roman" w:eastAsia="仿宋_GB2312" w:cs="Times New Roman"/>
          <w:sz w:val="32"/>
          <w:szCs w:val="32"/>
          <w:highlight w:val="none"/>
          <w:lang w:val="en-US" w:eastAsia="zh-CN"/>
        </w:rPr>
        <w:t>7</w:t>
      </w:r>
      <w:r>
        <w:rPr>
          <w:rFonts w:hint="default" w:ascii="Times New Roman" w:hAnsi="Times New Roman" w:eastAsia="仿宋_GB2312" w:cs="Times New Roman"/>
          <w:sz w:val="32"/>
          <w:szCs w:val="32"/>
          <w:highlight w:val="none"/>
          <w:lang w:val="en-US" w:eastAsia="zh-CN"/>
        </w:rPr>
        <w:t>个区直部门、3个事业单位2</w:t>
      </w:r>
      <w:r>
        <w:rPr>
          <w:rFonts w:hint="eastAsia" w:ascii="Times New Roman" w:hAnsi="Times New Roman" w:eastAsia="仿宋_GB2312" w:cs="Times New Roman"/>
          <w:sz w:val="32"/>
          <w:szCs w:val="32"/>
          <w:highlight w:val="none"/>
          <w:lang w:val="en-US" w:eastAsia="zh-CN"/>
        </w:rPr>
        <w:t>0名党政主要</w:t>
      </w:r>
      <w:r>
        <w:rPr>
          <w:rFonts w:hint="default" w:ascii="Times New Roman" w:hAnsi="Times New Roman" w:eastAsia="仿宋_GB2312" w:cs="Times New Roman"/>
          <w:sz w:val="32"/>
          <w:szCs w:val="32"/>
          <w:highlight w:val="none"/>
          <w:lang w:val="en-US" w:eastAsia="zh-CN"/>
        </w:rPr>
        <w:t>领导</w:t>
      </w:r>
      <w:r>
        <w:rPr>
          <w:rFonts w:hint="eastAsia" w:ascii="Times New Roman" w:hAnsi="Times New Roman" w:eastAsia="仿宋_GB2312" w:cs="Times New Roman"/>
          <w:sz w:val="32"/>
          <w:szCs w:val="32"/>
          <w:highlight w:val="none"/>
          <w:lang w:val="en-US" w:eastAsia="zh-CN"/>
        </w:rPr>
        <w:t>的</w:t>
      </w:r>
      <w:r>
        <w:rPr>
          <w:rFonts w:hint="default" w:ascii="Times New Roman" w:hAnsi="Times New Roman" w:eastAsia="仿宋_GB2312" w:cs="Times New Roman"/>
          <w:sz w:val="32"/>
          <w:szCs w:val="32"/>
          <w:highlight w:val="none"/>
          <w:lang w:val="en-US" w:eastAsia="zh-CN"/>
        </w:rPr>
        <w:t>经济责任审计项目</w:t>
      </w:r>
      <w:r>
        <w:rPr>
          <w:rFonts w:hint="eastAsia" w:ascii="Times New Roman" w:hAnsi="Times New Roman" w:eastAsia="仿宋_GB2312" w:cs="Times New Roman"/>
          <w:sz w:val="32"/>
          <w:szCs w:val="32"/>
          <w:highlight w:val="none"/>
          <w:lang w:val="en-US" w:eastAsia="zh-CN"/>
        </w:rPr>
        <w:t>审计查出问题182个，涉及问题资金1.26亿元，提出审计建议40条。</w:t>
      </w:r>
    </w:p>
    <w:p w14:paraId="67246F27">
      <w:pPr>
        <w:ind w:firstLine="640" w:firstLineChars="200"/>
        <w:jc w:val="both"/>
        <w:rPr>
          <w:rFonts w:hint="eastAsia" w:hAnsi="Times New Roman" w:eastAsia="仿宋_GB2312" w:cs="Times New Roman"/>
          <w:sz w:val="32"/>
          <w:szCs w:val="32"/>
          <w:lang w:val="en-US" w:eastAsia="zh-CN"/>
        </w:rPr>
      </w:pPr>
      <w:r>
        <w:rPr>
          <w:rFonts w:hint="eastAsia" w:ascii="楷体_GB2312" w:hAnsi="楷体_GB2312" w:eastAsia="楷体_GB2312" w:cs="楷体_GB2312"/>
          <w:sz w:val="32"/>
          <w:szCs w:val="32"/>
          <w:lang w:val="en-US" w:eastAsia="zh-CN"/>
        </w:rPr>
        <w:t>（三）紧盯重大投资落地做好固定资产投资审计</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lang w:val="en-US" w:eastAsia="zh-CN"/>
        </w:rPr>
        <w:t>从项目投资决策、立项、工程项目结（决）算、建设程序、招投标、合同管理、工程质量、投资绩效等全过程、全要素开展审计，实现农</w:t>
      </w:r>
      <w:r>
        <w:rPr>
          <w:rFonts w:hint="eastAsia" w:hAnsi="Times New Roman" w:eastAsia="仿宋_GB2312" w:cs="Times New Roman"/>
          <w:sz w:val="32"/>
          <w:szCs w:val="32"/>
          <w:lang w:val="en-US" w:eastAsia="zh-CN"/>
        </w:rPr>
        <w:t>牧</w:t>
      </w:r>
      <w:r>
        <w:rPr>
          <w:rFonts w:hint="default" w:ascii="Times New Roman" w:hAnsi="Times New Roman" w:eastAsia="仿宋_GB2312" w:cs="Times New Roman"/>
          <w:sz w:val="32"/>
          <w:szCs w:val="32"/>
          <w:lang w:val="en-US" w:eastAsia="zh-CN"/>
        </w:rPr>
        <w:t>业、水利、住建、交通、教育、卫生、园区、国企等行业投资5000万以上重大项目固投审计全领域覆盖</w:t>
      </w:r>
      <w:r>
        <w:rPr>
          <w:rFonts w:hint="eastAsia" w:ascii="Times New Roman" w:hAnsi="Times New Roman" w:eastAsia="仿宋_GB2312" w:cs="Times New Roman"/>
          <w:sz w:val="32"/>
          <w:szCs w:val="32"/>
          <w:lang w:val="en-US" w:eastAsia="zh-CN"/>
        </w:rPr>
        <w:t>。安排的13个固定资产投资竣工决算审计项目</w:t>
      </w:r>
      <w:r>
        <w:rPr>
          <w:rFonts w:hint="eastAsia" w:ascii="Times New Roman" w:hAnsi="Times New Roman" w:eastAsia="仿宋_GB2312" w:cs="Times New Roman"/>
          <w:sz w:val="32"/>
          <w:szCs w:val="32"/>
          <w:highlight w:val="none"/>
          <w:lang w:val="en-US" w:eastAsia="zh-CN"/>
        </w:rPr>
        <w:t>审计查出问题60个，核减工程价款2883.3万元，提出审计建议26条。同步抽取卫生、教育、城镇建设等领域5个财政评审项目开展了财政评审业务质量检查，和城市燃气管道等老化更新改造建设项目、松山八中等8个固定资产投资项目的跟踪审计。</w:t>
      </w:r>
      <w:r>
        <w:rPr>
          <w:rFonts w:hint="eastAsia" w:hAnsi="Times New Roman" w:eastAsia="仿宋_GB2312" w:cs="Times New Roman"/>
          <w:sz w:val="32"/>
          <w:szCs w:val="32"/>
          <w:highlight w:val="none"/>
          <w:lang w:val="en-US" w:eastAsia="zh-CN"/>
        </w:rPr>
        <w:t>在推动重大投资项目建设规范见效等方面发挥了审计监督作用。</w:t>
      </w:r>
    </w:p>
    <w:p w14:paraId="152A6C13">
      <w:pPr>
        <w:ind w:firstLine="640" w:firstLineChars="200"/>
        <w:jc w:val="both"/>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（四）围绕上三级审计任务、区委区政府重点工作及纪检监察等其他监督做好协同配合。</w:t>
      </w:r>
      <w:r>
        <w:rPr>
          <w:rFonts w:hint="eastAsia" w:ascii="仿宋_GB2312" w:hAnsi="仿宋_GB2312" w:eastAsia="仿宋_GB2312" w:cs="仿宋_GB2312"/>
          <w:sz w:val="32"/>
          <w:szCs w:val="32"/>
          <w:lang w:val="en-US" w:eastAsia="zh-CN"/>
        </w:rPr>
        <w:t>选派骨干力量，配合市审计局开展了农村合作经济补助资金使用情况审计调查、乡村振兴资金使用情况审计调查、公立医院综合改革推进情况专项审计调查、林草保护和防治专项审计调查，根据区委区政府工作要求，开展了区委组织部代区委管理党费收缴使用情况的审计（2017-2025）、赤峰客运西站有限责任公司资产负债情况专项审计调查、进行了两次拖欠企业账款核查、一次防汛物资审核。配合区委组织部、区委社工部完成了村（社区）两委班子成员日常调整及村（社区）两委</w:t>
      </w:r>
      <w:r>
        <w:rPr>
          <w:rFonts w:hint="eastAsia" w:ascii="仿宋_GB2312" w:hAnsi="仿宋_GB2312" w:eastAsia="仿宋_GB2312" w:cs="仿宋_GB2312"/>
          <w:sz w:val="32"/>
          <w:szCs w:val="32"/>
          <w:highlight w:val="none"/>
          <w:lang w:val="en-US" w:eastAsia="zh-CN"/>
        </w:rPr>
        <w:t>集中换届26次共5821人的联审工作。</w:t>
      </w:r>
      <w:r>
        <w:rPr>
          <w:rFonts w:hint="eastAsia" w:ascii="仿宋_GB2312" w:hAnsi="仿宋_GB2312" w:eastAsia="仿宋_GB2312" w:cs="仿宋_GB2312"/>
          <w:sz w:val="32"/>
          <w:szCs w:val="32"/>
          <w:lang w:val="en-US" w:eastAsia="zh-CN"/>
        </w:rPr>
        <w:t>目前西客站专项审计调查还在现场审计阶段，两处回迁安置小区审计结果复核工作正在进行，计划年底前完成全部审计任务。</w:t>
      </w:r>
    </w:p>
    <w:p w14:paraId="1D60F670">
      <w:pPr>
        <w:ind w:firstLine="640" w:firstLineChars="20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三、规范队伍管理，持续推进审计监督质效及成果转化和干部队伍素质三提升</w:t>
      </w:r>
    </w:p>
    <w:p w14:paraId="448A8605">
      <w:pPr>
        <w:ind w:firstLine="640" w:firstLineChars="200"/>
        <w:jc w:val="both"/>
        <w:rPr>
          <w:rFonts w:hint="default" w:ascii="黑体" w:hAnsi="黑体" w:eastAsia="黑体" w:cs="黑体"/>
          <w:sz w:val="32"/>
          <w:szCs w:val="32"/>
          <w:lang w:val="en-US" w:eastAsia="zh-CN"/>
        </w:rPr>
      </w:pPr>
      <w:r>
        <w:rPr>
          <w:rFonts w:hint="eastAsia" w:ascii="仿宋_GB2312" w:hAnsi="仿宋_GB2312" w:eastAsia="仿宋_GB2312" w:cs="仿宋_GB2312"/>
          <w:b w:val="0"/>
          <w:bCs w:val="0"/>
          <w:sz w:val="32"/>
          <w:szCs w:val="32"/>
          <w:lang w:val="en-US" w:eastAsia="zh-CN"/>
        </w:rPr>
        <w:t>2025年完成了</w:t>
      </w:r>
      <w:r>
        <w:rPr>
          <w:rFonts w:hint="default" w:ascii="仿宋_GB2312" w:hAnsi="仿宋_GB2312" w:eastAsia="仿宋_GB2312" w:cs="仿宋_GB2312"/>
          <w:b w:val="0"/>
          <w:bCs w:val="0"/>
          <w:sz w:val="32"/>
          <w:szCs w:val="32"/>
          <w:lang w:val="en-US" w:eastAsia="zh-CN"/>
        </w:rPr>
        <w:t>赤峰市松山区2022至2023年殡葬管理服务情况专项审计调查</w:t>
      </w:r>
      <w:r>
        <w:rPr>
          <w:rFonts w:hint="eastAsia" w:ascii="仿宋_GB2312" w:hAnsi="仿宋_GB2312" w:eastAsia="仿宋_GB2312" w:cs="仿宋_GB2312"/>
          <w:b w:val="0"/>
          <w:bCs w:val="0"/>
          <w:sz w:val="32"/>
          <w:szCs w:val="32"/>
          <w:lang w:val="en-US" w:eastAsia="zh-CN"/>
        </w:rPr>
        <w:t>的优秀审计项目报送工作，完成了基层卫生医疗机构服务能力专项审计调查项目向赤峰市及代表赤峰市向自治区审计厅的报送工作。</w:t>
      </w:r>
    </w:p>
    <w:p w14:paraId="5DC5F50C">
      <w:pPr>
        <w:ind w:firstLine="640" w:firstLineChars="200"/>
        <w:jc w:val="both"/>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一是因地制宜推动开展研究型审计提升审计查出问题质量。</w:t>
      </w:r>
      <w:r>
        <w:rPr>
          <w:rFonts w:hint="eastAsia" w:ascii="仿宋_GB2312" w:hAnsi="仿宋_GB2312" w:eastAsia="仿宋_GB2312" w:cs="仿宋_GB2312"/>
          <w:sz w:val="32"/>
          <w:szCs w:val="32"/>
          <w:lang w:val="en-US" w:eastAsia="zh-CN"/>
        </w:rPr>
        <w:t>在人员力量和技术水平有限条件下，在项目安排、人员统筹等方面下功夫，同类型、同行业项目同步开展、同步推进，便于不同审计组对照行业数据、挖掘系统性问题。</w:t>
      </w:r>
    </w:p>
    <w:p w14:paraId="160FA625">
      <w:pPr>
        <w:ind w:firstLine="640" w:firstLineChars="200"/>
        <w:jc w:val="both"/>
        <w:rPr>
          <w:rFonts w:hint="eastAsia" w:ascii="仿宋_GB2312" w:hAnsi="仿宋_GB2312" w:eastAsia="仿宋_GB2312" w:cs="仿宋_GB2312"/>
          <w:b w:val="0"/>
          <w:bCs w:val="0"/>
          <w:sz w:val="32"/>
          <w:szCs w:val="32"/>
          <w:highlight w:val="none"/>
          <w:lang w:val="en-US" w:eastAsia="zh-CN"/>
        </w:rPr>
      </w:pPr>
      <w:r>
        <w:rPr>
          <w:rFonts w:hint="eastAsia" w:ascii="楷体_GB2312" w:hAnsi="楷体_GB2312" w:eastAsia="楷体_GB2312" w:cs="楷体_GB2312"/>
          <w:sz w:val="32"/>
          <w:szCs w:val="32"/>
          <w:lang w:val="en-US" w:eastAsia="zh-CN"/>
        </w:rPr>
        <w:t>二是切实加大审计整改督促力度深化审计成果应用。</w:t>
      </w:r>
      <w:r>
        <w:rPr>
          <w:rFonts w:hint="eastAsia" w:ascii="仿宋_GB2312" w:hAnsi="仿宋_GB2312" w:eastAsia="仿宋_GB2312" w:cs="仿宋_GB2312"/>
          <w:color w:val="auto"/>
          <w:sz w:val="32"/>
          <w:szCs w:val="32"/>
          <w:lang w:val="en-US" w:eastAsia="zh-CN"/>
        </w:rPr>
        <w:t>着眼打好审计整改“组合拳”，在全面整改基础上，加大专项整改和重点督办力度，</w:t>
      </w:r>
      <w:r>
        <w:rPr>
          <w:rFonts w:hint="eastAsia" w:ascii="仿宋_GB2312" w:hAnsi="仿宋_GB2312" w:eastAsia="仿宋_GB2312" w:cs="仿宋_GB2312"/>
          <w:b w:val="0"/>
          <w:bCs w:val="0"/>
          <w:sz w:val="32"/>
          <w:szCs w:val="32"/>
          <w:highlight w:val="none"/>
          <w:lang w:val="en-US" w:eastAsia="zh-CN"/>
        </w:rPr>
        <w:t>履行审计组、分管局长、审理会议三级审核制度，促进审计整改标准统一，实现及时改、真实改。做到审计全流程细化职责责任、规范执行制度要求，实现审计项目全过程精细化、规范化管理。</w:t>
      </w:r>
    </w:p>
    <w:p w14:paraId="1579FD1B">
      <w:pPr>
        <w:ind w:firstLine="640" w:firstLineChars="200"/>
      </w:pPr>
      <w:r>
        <w:rPr>
          <w:rFonts w:hint="eastAsia" w:ascii="楷体_GB2312" w:hAnsi="楷体_GB2312" w:eastAsia="楷体_GB2312" w:cs="楷体_GB2312"/>
          <w:sz w:val="32"/>
          <w:szCs w:val="32"/>
          <w:lang w:val="en-US" w:eastAsia="zh-CN"/>
        </w:rPr>
        <w:t>三是营造比先争优氛围推进</w:t>
      </w:r>
      <w:r>
        <w:rPr>
          <w:rFonts w:hint="eastAsia" w:ascii="楷体_GB2312" w:hAnsi="楷体_GB2312" w:eastAsia="楷体_GB2312" w:cs="楷体_GB2312"/>
          <w:sz w:val="32"/>
          <w:szCs w:val="32"/>
          <w:highlight w:val="none"/>
          <w:lang w:val="en-US" w:eastAsia="zh-CN"/>
        </w:rPr>
        <w:t>审计监督队伍</w:t>
      </w:r>
      <w:r>
        <w:rPr>
          <w:rFonts w:hint="eastAsia" w:ascii="楷体_GB2312" w:hAnsi="楷体_GB2312" w:eastAsia="楷体_GB2312" w:cs="楷体_GB2312"/>
          <w:sz w:val="32"/>
          <w:szCs w:val="32"/>
          <w:lang w:val="en-US" w:eastAsia="zh-CN"/>
        </w:rPr>
        <w:t>整体素质提升。</w:t>
      </w:r>
      <w:r>
        <w:rPr>
          <w:rFonts w:hint="eastAsia" w:ascii="仿宋_GB2312" w:hAnsi="仿宋_GB2312" w:eastAsia="仿宋_GB2312" w:cs="仿宋_GB2312"/>
          <w:b w:val="0"/>
          <w:bCs w:val="0"/>
          <w:sz w:val="32"/>
          <w:szCs w:val="32"/>
          <w:highlight w:val="none"/>
          <w:lang w:val="en-US" w:eastAsia="zh-CN"/>
        </w:rPr>
        <w:t>至2025年，已充实40岁以下一线审计干部9人，其中高级职称2人、中级职称2人。干部队伍结构得到了全面改善。</w:t>
      </w:r>
    </w:p>
    <w:p w14:paraId="6D4CABFB">
      <w:pPr>
        <w:widowControl/>
        <w:spacing w:before="240" w:after="240"/>
        <w:jc w:val="left"/>
        <w:rPr>
          <w:rFonts w:ascii="Times New Roman" w:hAnsi="Times New Roman" w:eastAsia="Times New Roman" w:cs="Times New Roman"/>
          <w:kern w:val="0"/>
          <w:sz w:val="24"/>
        </w:rPr>
      </w:pPr>
    </w:p>
    <w:p w14:paraId="08291FD5">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第二部分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部门决算情况说明</w:t>
      </w:r>
    </w:p>
    <w:p w14:paraId="68A9E253">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一、收入支出决算总体情况说明</w:t>
      </w:r>
    </w:p>
    <w:p w14:paraId="67C29F02">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赤峰市松山区审计局 </w:t>
      </w:r>
      <w:r>
        <w:rPr>
          <w:rFonts w:eastAsia="Times New Roman"/>
          <w:kern w:val="0"/>
          <w:sz w:val="32"/>
          <w:szCs w:val="32"/>
          <w:lang w:eastAsia="en-US"/>
        </w:rPr>
        <w:t>2025</w:t>
      </w:r>
      <w:r>
        <w:rPr>
          <w:rFonts w:ascii="FangSong_GB2312" w:hAnsi="FangSong_GB2312" w:eastAsia="FangSong_GB2312" w:cs="FangSong_GB2312"/>
          <w:kern w:val="0"/>
          <w:sz w:val="32"/>
          <w:szCs w:val="32"/>
        </w:rPr>
        <w:t>年度收入、支出决算总计均为</w:t>
      </w:r>
      <w:r>
        <w:rPr>
          <w:rFonts w:eastAsia="Times New Roman"/>
          <w:kern w:val="0"/>
          <w:sz w:val="32"/>
          <w:szCs w:val="32"/>
          <w:u w:val="single"/>
          <w:lang w:eastAsia="en-US"/>
        </w:rPr>
        <w:t xml:space="preserve"> 553.64</w:t>
      </w:r>
      <w:r>
        <w:rPr>
          <w:rFonts w:ascii="FangSong_GB2312" w:hAnsi="FangSong_GB2312" w:eastAsia="FangSong_GB2312" w:cs="FangSong_GB2312"/>
          <w:kern w:val="0"/>
          <w:sz w:val="32"/>
          <w:szCs w:val="32"/>
        </w:rPr>
        <w:t>万元。与年初预算相比，收、支总计各减少</w:t>
      </w:r>
      <w:r>
        <w:rPr>
          <w:rFonts w:eastAsia="Times New Roman"/>
          <w:kern w:val="0"/>
          <w:sz w:val="32"/>
          <w:szCs w:val="32"/>
          <w:u w:val="single"/>
          <w:lang w:eastAsia="en-US"/>
        </w:rPr>
        <w:t xml:space="preserve"> 15.34</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2.70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财政资金紧张，压缩项目支出</w:t>
      </w:r>
      <w:r>
        <w:rPr>
          <w:rFonts w:ascii="FangSong_GB2312" w:hAnsi="FangSong_GB2312" w:eastAsia="FangSong_GB2312" w:cs="FangSong_GB2312"/>
          <w:kern w:val="0"/>
          <w:sz w:val="32"/>
          <w:szCs w:val="32"/>
        </w:rPr>
        <w:t>；与上年决算相比，收、支总计各增加</w:t>
      </w:r>
      <w:r>
        <w:rPr>
          <w:rFonts w:eastAsia="Times New Roman"/>
          <w:kern w:val="0"/>
          <w:sz w:val="32"/>
          <w:szCs w:val="32"/>
          <w:u w:val="single"/>
          <w:lang w:eastAsia="en-US"/>
        </w:rPr>
        <w:t xml:space="preserve"> 37.54</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7.27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73B8DB4C">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（一）收入决算总计</w:t>
      </w:r>
      <w:r>
        <w:rPr>
          <w:rFonts w:eastAsia="Times New Roman"/>
          <w:b/>
          <w:bCs/>
          <w:kern w:val="0"/>
          <w:sz w:val="32"/>
          <w:szCs w:val="32"/>
          <w:u w:val="single"/>
          <w:lang w:eastAsia="en-US"/>
        </w:rPr>
        <w:t xml:space="preserve"> 553.64</w:t>
      </w:r>
      <w:r>
        <w:rPr>
          <w:rFonts w:ascii="楷体" w:hAnsi="楷体" w:eastAsia="楷体" w:cs="楷体"/>
          <w:b/>
          <w:bCs/>
          <w:kern w:val="0"/>
          <w:sz w:val="32"/>
          <w:szCs w:val="32"/>
        </w:rPr>
        <w:t>万元。包括：</w:t>
      </w:r>
    </w:p>
    <w:p w14:paraId="7C238113">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本年收入决算合计</w:t>
      </w:r>
      <w:r>
        <w:rPr>
          <w:rFonts w:eastAsia="Times New Roman"/>
          <w:kern w:val="0"/>
          <w:sz w:val="32"/>
          <w:szCs w:val="32"/>
          <w:u w:val="single"/>
          <w:lang w:eastAsia="en-US"/>
        </w:rPr>
        <w:t xml:space="preserve"> 553.64</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37.54</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7.27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人员经费较上年增加</w:t>
      </w:r>
      <w:r>
        <w:rPr>
          <w:rFonts w:ascii="FangSong_GB2312" w:hAnsi="FangSong_GB2312" w:eastAsia="FangSong_GB2312" w:cs="FangSong_GB2312"/>
          <w:kern w:val="0"/>
          <w:sz w:val="32"/>
          <w:szCs w:val="32"/>
        </w:rPr>
        <w:t>。</w:t>
      </w:r>
    </w:p>
    <w:p w14:paraId="51CB3BB1">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使用非财政拨款结余（含专用结余）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不存在此项内容</w:t>
      </w:r>
      <w:r>
        <w:rPr>
          <w:rFonts w:ascii="FangSong_GB2312" w:hAnsi="FangSong_GB2312" w:eastAsia="FangSong_GB2312" w:cs="FangSong_GB2312"/>
          <w:kern w:val="0"/>
          <w:sz w:val="32"/>
          <w:szCs w:val="32"/>
        </w:rPr>
        <w:t>。</w:t>
      </w:r>
    </w:p>
    <w:p w14:paraId="1F3385AF">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年初结转和结余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不存在此项内容</w:t>
      </w:r>
      <w:r>
        <w:rPr>
          <w:rFonts w:ascii="FangSong_GB2312" w:hAnsi="FangSong_GB2312" w:eastAsia="FangSong_GB2312" w:cs="FangSong_GB2312"/>
          <w:kern w:val="0"/>
          <w:sz w:val="32"/>
          <w:szCs w:val="32"/>
        </w:rPr>
        <w:t>。</w:t>
      </w:r>
    </w:p>
    <w:p w14:paraId="37841FF6">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（二）支出决算总计</w:t>
      </w:r>
      <w:r>
        <w:rPr>
          <w:rFonts w:eastAsia="Times New Roman"/>
          <w:b/>
          <w:bCs/>
          <w:kern w:val="0"/>
          <w:sz w:val="32"/>
          <w:szCs w:val="32"/>
          <w:u w:val="single"/>
          <w:lang w:eastAsia="en-US"/>
        </w:rPr>
        <w:t xml:space="preserve"> 553.64</w:t>
      </w:r>
      <w:r>
        <w:rPr>
          <w:rFonts w:ascii="楷体" w:hAnsi="楷体" w:eastAsia="楷体" w:cs="楷体"/>
          <w:b/>
          <w:bCs/>
          <w:kern w:val="0"/>
          <w:sz w:val="32"/>
          <w:szCs w:val="32"/>
        </w:rPr>
        <w:t>万元。包括：</w:t>
      </w:r>
    </w:p>
    <w:p w14:paraId="6D035977">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本年支出决算合计</w:t>
      </w:r>
      <w:r>
        <w:rPr>
          <w:rFonts w:eastAsia="Times New Roman"/>
          <w:kern w:val="0"/>
          <w:sz w:val="32"/>
          <w:szCs w:val="32"/>
          <w:u w:val="single"/>
          <w:lang w:eastAsia="en-US"/>
        </w:rPr>
        <w:t xml:space="preserve"> 553.64</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37.54</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7.27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人员经费较上年增加</w:t>
      </w:r>
      <w:r>
        <w:rPr>
          <w:rFonts w:ascii="FangSong_GB2312" w:hAnsi="FangSong_GB2312" w:eastAsia="FangSong_GB2312" w:cs="FangSong_GB2312"/>
          <w:kern w:val="0"/>
          <w:sz w:val="32"/>
          <w:szCs w:val="32"/>
        </w:rPr>
        <w:t>。</w:t>
      </w:r>
    </w:p>
    <w:p w14:paraId="3C136453">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2</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结余分配</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万元。结余分配事项：</w:t>
      </w:r>
      <w:r>
        <w:rPr>
          <w:rFonts w:hint="eastAsia" w:ascii="FangSong_GB2312" w:hAnsi="FangSong_GB2312" w:eastAsia="FangSong_GB2312" w:cs="FangSong_GB2312"/>
          <w:kern w:val="0"/>
          <w:sz w:val="32"/>
          <w:szCs w:val="32"/>
          <w:lang w:eastAsia="zh-CN"/>
        </w:rPr>
        <w:t>无</w:t>
      </w:r>
      <w:r>
        <w:rPr>
          <w:rFonts w:ascii="FangSong_GB2312" w:hAnsi="FangSong_GB2312" w:eastAsia="FangSong_GB2312" w:cs="FangSong_GB2312"/>
          <w:kern w:val="0"/>
          <w:sz w:val="32"/>
          <w:szCs w:val="32"/>
        </w:rPr>
        <w:t>。与上年决算相比，增加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不存在此项内容</w:t>
      </w:r>
      <w:r>
        <w:rPr>
          <w:rFonts w:ascii="FangSong_GB2312" w:hAnsi="FangSong_GB2312" w:eastAsia="FangSong_GB2312" w:cs="FangSong_GB2312"/>
          <w:kern w:val="0"/>
          <w:sz w:val="32"/>
          <w:szCs w:val="32"/>
        </w:rPr>
        <w:t>。</w:t>
      </w:r>
    </w:p>
    <w:p w14:paraId="1DE5E103">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3</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年末结转和结余</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万元。结转和结余事项：</w:t>
      </w:r>
      <w:r>
        <w:rPr>
          <w:rFonts w:hint="eastAsia" w:ascii="FangSong_GB2312" w:hAnsi="FangSong_GB2312" w:eastAsia="FangSong_GB2312" w:cs="FangSong_GB2312"/>
          <w:kern w:val="0"/>
          <w:sz w:val="32"/>
          <w:szCs w:val="32"/>
          <w:lang w:eastAsia="zh-CN"/>
        </w:rPr>
        <w:t>无</w:t>
      </w:r>
      <w:r>
        <w:rPr>
          <w:rFonts w:ascii="FangSong_GB2312" w:hAnsi="FangSong_GB2312" w:eastAsia="FangSong_GB2312" w:cs="FangSong_GB2312"/>
          <w:kern w:val="0"/>
          <w:sz w:val="32"/>
          <w:szCs w:val="32"/>
        </w:rPr>
        <w:t>。与上年决算相比，增加</w:t>
      </w:r>
      <w:r>
        <w:rPr>
          <w:rFonts w:eastAsia="Times New Roman"/>
          <w:kern w:val="0"/>
          <w:sz w:val="32"/>
          <w:szCs w:val="32"/>
          <w:u w:val="single"/>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不存在此项内容</w:t>
      </w:r>
      <w:r>
        <w:rPr>
          <w:rFonts w:ascii="FangSong_GB2312" w:hAnsi="FangSong_GB2312" w:eastAsia="FangSong_GB2312" w:cs="FangSong_GB2312"/>
          <w:kern w:val="0"/>
          <w:sz w:val="32"/>
          <w:szCs w:val="32"/>
        </w:rPr>
        <w:t>。</w:t>
      </w:r>
    </w:p>
    <w:p w14:paraId="3A04F958">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二、收入决算情况说明</w:t>
      </w:r>
    </w:p>
    <w:p w14:paraId="6D761729">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赤峰市松山区审计局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年度本年收入决算合计</w:t>
      </w:r>
      <w:r>
        <w:rPr>
          <w:rFonts w:eastAsia="Times New Roman"/>
          <w:kern w:val="0"/>
          <w:sz w:val="32"/>
          <w:szCs w:val="32"/>
          <w:u w:val="single"/>
          <w:lang w:eastAsia="en-US"/>
        </w:rPr>
        <w:t xml:space="preserve"> 553.64</w:t>
      </w:r>
      <w:r>
        <w:rPr>
          <w:rFonts w:ascii="FangSong_GB2312" w:hAnsi="FangSong_GB2312" w:eastAsia="FangSong_GB2312" w:cs="FangSong_GB2312"/>
          <w:kern w:val="0"/>
          <w:sz w:val="32"/>
          <w:szCs w:val="32"/>
        </w:rPr>
        <w:t>万元，其中：</w:t>
      </w:r>
    </w:p>
    <w:p w14:paraId="6FDC8807">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一般公共预算财政拨款收入</w:t>
      </w:r>
      <w:r>
        <w:rPr>
          <w:rFonts w:eastAsia="Times New Roman"/>
          <w:kern w:val="0"/>
          <w:sz w:val="32"/>
          <w:szCs w:val="32"/>
          <w:u w:val="single"/>
          <w:lang w:eastAsia="en-US"/>
        </w:rPr>
        <w:t xml:space="preserve"> 553.64</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6FE3864F">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政府性基金预算财政拨款收入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6763E134">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国有资本经营预算财政拨款收入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4E7B8311">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上级补助收入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0E951FDB">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事业收入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05A6492F">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2FBD60E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附属单位上缴收入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0807F3CC">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其他收入</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662461F0">
      <w:pPr>
        <w:widowControl/>
        <w:spacing w:before="240" w:after="240"/>
        <w:rPr>
          <w:rFonts w:ascii="Times New Roman" w:hAnsi="Times New Roman" w:eastAsia="Times New Roman" w:cs="Times New Roman"/>
          <w:kern w:val="0"/>
          <w:sz w:val="24"/>
        </w:rPr>
      </w:pPr>
    </w:p>
    <w:p w14:paraId="40955AD2">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pict>
          <v:shape id="_x0000_i1025" o:spt="75" type="#_x0000_t75" style="height:375pt;width:600pt;" filled="f" o:preferrelative="t" stroked="f" coordsize="21600,21600">
            <v:path/>
            <v:fill on="f" focussize="0,0"/>
            <v:stroke on="f" joinstyle="miter"/>
            <v:imagedata r:id="rId6" o:title=""/>
            <o:lock v:ext="edit" aspectratio="t"/>
            <w10:wrap type="none"/>
            <w10:anchorlock/>
          </v:shape>
        </w:pict>
      </w:r>
      <w:r>
        <w:rPr>
          <w:rFonts w:ascii="Times New Roman" w:hAnsi="Times New Roman" w:eastAsia="Times New Roman" w:cs="Times New Roman"/>
          <w:kern w:val="0"/>
          <w:sz w:val="24"/>
        </w:rPr>
        <w:t xml:space="preserve">   </w:t>
      </w:r>
    </w:p>
    <w:p w14:paraId="0A0CF470">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w:t>
      </w:r>
      <w:r>
        <w:rPr>
          <w:rFonts w:ascii="times_new_roman" w:hAnsi="times_new_roman" w:eastAsia="times_new_roman" w:cs="times_new_roman"/>
          <w:kern w:val="0"/>
          <w:sz w:val="27"/>
          <w:szCs w:val="27"/>
        </w:rPr>
        <w:t>1</w:t>
      </w:r>
      <w:r>
        <w:rPr>
          <w:rFonts w:ascii="FangSong_GB2312" w:hAnsi="FangSong_GB2312" w:eastAsia="FangSong_GB2312" w:cs="FangSong_GB2312"/>
          <w:kern w:val="0"/>
          <w:sz w:val="27"/>
          <w:szCs w:val="27"/>
        </w:rPr>
        <w:t>.收入决算图</w:t>
      </w:r>
    </w:p>
    <w:p w14:paraId="1FBBA835">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三、支出决算情况说明</w:t>
      </w:r>
    </w:p>
    <w:p w14:paraId="4F0F17B0">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赤峰市松山区审计局</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年度本年支出决算合计</w:t>
      </w:r>
      <w:r>
        <w:rPr>
          <w:rFonts w:eastAsia="Times New Roman"/>
          <w:kern w:val="0"/>
          <w:sz w:val="32"/>
          <w:szCs w:val="32"/>
          <w:u w:val="single"/>
          <w:lang w:eastAsia="en-US"/>
        </w:rPr>
        <w:t xml:space="preserve"> 553.64</w:t>
      </w:r>
      <w:r>
        <w:rPr>
          <w:rFonts w:ascii="FangSong_GB2312" w:hAnsi="FangSong_GB2312" w:eastAsia="FangSong_GB2312" w:cs="FangSong_GB2312"/>
          <w:kern w:val="0"/>
          <w:sz w:val="32"/>
          <w:szCs w:val="32"/>
        </w:rPr>
        <w:t>万元，其中：</w:t>
      </w:r>
    </w:p>
    <w:p w14:paraId="1465295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基本支出</w:t>
      </w:r>
      <w:r>
        <w:rPr>
          <w:rFonts w:eastAsia="Times New Roman"/>
          <w:kern w:val="0"/>
          <w:sz w:val="32"/>
          <w:szCs w:val="32"/>
          <w:u w:val="single"/>
          <w:lang w:eastAsia="en-US"/>
        </w:rPr>
        <w:t xml:space="preserve"> 475.82</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85.94</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F4ADE87">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项目支出</w:t>
      </w:r>
      <w:r>
        <w:rPr>
          <w:rFonts w:eastAsia="Times New Roman"/>
          <w:kern w:val="0"/>
          <w:sz w:val="32"/>
          <w:szCs w:val="32"/>
          <w:u w:val="single"/>
          <w:lang w:eastAsia="en-US"/>
        </w:rPr>
        <w:t xml:space="preserve"> 77.82</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14.06</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780E0ED1">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上缴上级支出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01B0A6BB">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经营支出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38BBE797">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对附属单位补助支出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512FC3D3">
      <w:pPr>
        <w:pStyle w:val="28"/>
        <w:widowControl/>
        <w:spacing w:before="240" w:after="240" w:line="560" w:lineRule="atLeast"/>
        <w:ind w:firstLine="640"/>
        <w:jc w:val="left"/>
        <w:rPr>
          <w:rFonts w:ascii="Times New Roman" w:hAnsi="Times New Roman" w:eastAsia="Times New Roman" w:cs="Times New Roman"/>
          <w:kern w:val="0"/>
          <w:sz w:val="24"/>
        </w:rPr>
      </w:pPr>
    </w:p>
    <w:p w14:paraId="24B918B5">
      <w:pPr>
        <w:widowControl/>
        <w:spacing w:before="240" w:after="240"/>
        <w:jc w:val="center"/>
        <w:rPr>
          <w:rFonts w:ascii="Times New Roman" w:hAnsi="Times New Roman" w:eastAsia="Times New Roman" w:cs="Times New Roman"/>
          <w:kern w:val="0"/>
          <w:sz w:val="24"/>
        </w:rPr>
      </w:pPr>
      <w:r>
        <w:rPr>
          <w:rFonts w:ascii="Times New Roman" w:hAnsi="Times New Roman" w:eastAsia="Times New Roman" w:cs="Times New Roman"/>
          <w:strike w:val="0"/>
          <w:kern w:val="0"/>
          <w:sz w:val="24"/>
          <w:u w:val="none"/>
        </w:rPr>
        <w:drawing>
          <wp:inline distT="0" distB="0" distL="114300" distR="114300">
            <wp:extent cx="7620000" cy="4762500"/>
            <wp:effectExtent l="0" t="0" r="0" b="0"/>
            <wp:docPr id="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pic:cNvPicPr>
                      <a:picLocks noChangeAspect="1"/>
                    </pic:cNvPicPr>
                  </pic:nvPicPr>
                  <pic:blipFill>
                    <a:blip r:embed="rId7"/>
                    <a:stretch>
                      <a:fillRect/>
                    </a:stretch>
                  </pic:blipFill>
                  <pic:spPr>
                    <a:xfrm>
                      <a:off x="0" y="0"/>
                      <a:ext cx="7620000" cy="4762500"/>
                    </a:xfrm>
                    <a:prstGeom prst="rect">
                      <a:avLst/>
                    </a:prstGeom>
                    <a:noFill/>
                    <a:ln>
                      <a:noFill/>
                    </a:ln>
                  </pic:spPr>
                </pic:pic>
              </a:graphicData>
            </a:graphic>
          </wp:inline>
        </w:drawing>
      </w:r>
      <w:r>
        <w:rPr>
          <w:rFonts w:ascii="Times New Roman" w:hAnsi="Times New Roman" w:eastAsia="Times New Roman" w:cs="Times New Roman"/>
          <w:kern w:val="0"/>
          <w:sz w:val="24"/>
        </w:rPr>
        <w:t xml:space="preserve">   </w:t>
      </w:r>
    </w:p>
    <w:p w14:paraId="37BFF9AD">
      <w:pPr>
        <w:widowControl/>
        <w:spacing w:before="240" w:after="240"/>
        <w:jc w:val="center"/>
        <w:rPr>
          <w:rFonts w:ascii="Times New Roman" w:hAnsi="Times New Roman" w:eastAsia="Times New Roman" w:cs="Times New Roman"/>
          <w:kern w:val="0"/>
          <w:sz w:val="24"/>
        </w:rPr>
      </w:pPr>
      <w:r>
        <w:rPr>
          <w:rFonts w:ascii="FangSong_GB2312" w:hAnsi="FangSong_GB2312" w:eastAsia="FangSong_GB2312" w:cs="FangSong_GB2312"/>
          <w:kern w:val="0"/>
          <w:sz w:val="27"/>
          <w:szCs w:val="27"/>
        </w:rPr>
        <w:t>图2.支出决算图</w:t>
      </w:r>
    </w:p>
    <w:p w14:paraId="266B4EB9">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四、财政拨款收入支出决算总体情况说明</w:t>
      </w:r>
    </w:p>
    <w:p w14:paraId="159B3A2C">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赤峰市松山区审计局</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年度财政拨款收入、支出决算总计均为</w:t>
      </w:r>
      <w:r>
        <w:rPr>
          <w:rFonts w:eastAsia="Times New Roman"/>
          <w:kern w:val="0"/>
          <w:sz w:val="32"/>
          <w:szCs w:val="32"/>
          <w:u w:val="single"/>
          <w:lang w:eastAsia="en-US"/>
        </w:rPr>
        <w:t xml:space="preserve"> 553.64</w:t>
      </w:r>
      <w:r>
        <w:rPr>
          <w:rFonts w:ascii="FangSong_GB2312" w:hAnsi="FangSong_GB2312" w:eastAsia="FangSong_GB2312" w:cs="FangSong_GB2312"/>
          <w:kern w:val="0"/>
          <w:sz w:val="32"/>
          <w:szCs w:val="32"/>
        </w:rPr>
        <w:t>万元，与年初预算相比，收、支总计各减少</w:t>
      </w:r>
      <w:r>
        <w:rPr>
          <w:rFonts w:eastAsia="Times New Roman"/>
          <w:kern w:val="0"/>
          <w:sz w:val="32"/>
          <w:szCs w:val="32"/>
          <w:u w:val="single"/>
          <w:lang w:eastAsia="en-US"/>
        </w:rPr>
        <w:t>15.34</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2.70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财政资金紧张，压缩项目支出</w:t>
      </w:r>
      <w:r>
        <w:rPr>
          <w:rFonts w:ascii="FangSong_GB2312" w:hAnsi="FangSong_GB2312" w:eastAsia="FangSong_GB2312" w:cs="FangSong_GB2312"/>
          <w:kern w:val="0"/>
          <w:sz w:val="32"/>
          <w:szCs w:val="32"/>
        </w:rPr>
        <w:t>；与上年决算相比，收、支总计各增加</w:t>
      </w:r>
      <w:r>
        <w:rPr>
          <w:rFonts w:eastAsia="Times New Roman"/>
          <w:kern w:val="0"/>
          <w:sz w:val="32"/>
          <w:szCs w:val="32"/>
          <w:u w:val="single"/>
          <w:lang w:eastAsia="en-US"/>
        </w:rPr>
        <w:t xml:space="preserve"> 37.54</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7.27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人员经费较上年增加</w:t>
      </w:r>
      <w:r>
        <w:rPr>
          <w:rFonts w:ascii="FangSong_GB2312" w:hAnsi="FangSong_GB2312" w:eastAsia="FangSong_GB2312" w:cs="FangSong_GB2312"/>
          <w:kern w:val="0"/>
          <w:sz w:val="32"/>
          <w:szCs w:val="32"/>
        </w:rPr>
        <w:t>。</w:t>
      </w:r>
    </w:p>
    <w:p w14:paraId="2919967D">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五、一般公共预算财政拨款支出决算情况说明</w:t>
      </w:r>
    </w:p>
    <w:p w14:paraId="58E377D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赤峰市松山区审计局</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年度一般公共预算财政拨款支出决算</w:t>
      </w:r>
      <w:r>
        <w:rPr>
          <w:rFonts w:eastAsia="Times New Roman"/>
          <w:kern w:val="0"/>
          <w:sz w:val="32"/>
          <w:szCs w:val="32"/>
          <w:u w:val="single"/>
          <w:lang w:eastAsia="en-US"/>
        </w:rPr>
        <w:t xml:space="preserve"> 553.64</w:t>
      </w:r>
      <w:r>
        <w:rPr>
          <w:rFonts w:ascii="FangSong_GB2312" w:hAnsi="FangSong_GB2312" w:eastAsia="FangSong_GB2312" w:cs="FangSong_GB2312"/>
          <w:kern w:val="0"/>
          <w:sz w:val="32"/>
          <w:szCs w:val="32"/>
        </w:rPr>
        <w:t>万元。与年初预算</w:t>
      </w:r>
      <w:r>
        <w:rPr>
          <w:rFonts w:eastAsia="Times New Roman"/>
          <w:kern w:val="0"/>
          <w:sz w:val="32"/>
          <w:szCs w:val="32"/>
          <w:u w:val="single"/>
          <w:lang w:eastAsia="en-US"/>
        </w:rPr>
        <w:t xml:space="preserve"> 568.98</w:t>
      </w:r>
      <w:r>
        <w:rPr>
          <w:rFonts w:ascii="FangSong_GB2312" w:hAnsi="FangSong_GB2312" w:eastAsia="FangSong_GB2312" w:cs="FangSong_GB2312"/>
          <w:kern w:val="0"/>
          <w:sz w:val="32"/>
          <w:szCs w:val="32"/>
        </w:rPr>
        <w:t>万元相比，完成年初预算的</w:t>
      </w:r>
      <w:r>
        <w:rPr>
          <w:rFonts w:eastAsia="Times New Roman"/>
          <w:kern w:val="0"/>
          <w:sz w:val="32"/>
          <w:szCs w:val="32"/>
          <w:u w:val="single"/>
          <w:lang w:eastAsia="en-US"/>
        </w:rPr>
        <w:t xml:space="preserve"> 97.30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5F45A739">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（一）一般公共服务（类）</w:t>
      </w:r>
    </w:p>
    <w:p w14:paraId="21D3507E">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一般公共服务（类）决算数为</w:t>
      </w:r>
      <w:r>
        <w:rPr>
          <w:rFonts w:eastAsia="Times New Roman"/>
          <w:kern w:val="0"/>
          <w:sz w:val="32"/>
          <w:szCs w:val="32"/>
          <w:u w:val="single"/>
          <w:lang w:eastAsia="en-US"/>
        </w:rPr>
        <w:t xml:space="preserve"> 480.71</w:t>
      </w:r>
      <w:r>
        <w:rPr>
          <w:rFonts w:ascii="FangSong_GB2312" w:hAnsi="FangSong_GB2312" w:eastAsia="FangSong_GB2312" w:cs="FangSong_GB2312"/>
          <w:kern w:val="0"/>
          <w:sz w:val="32"/>
          <w:szCs w:val="32"/>
        </w:rPr>
        <w:t>万元，与年初预算相比增加</w:t>
      </w:r>
      <w:r>
        <w:rPr>
          <w:rFonts w:eastAsia="Times New Roman"/>
          <w:kern w:val="0"/>
          <w:sz w:val="32"/>
          <w:szCs w:val="32"/>
          <w:u w:val="single"/>
          <w:lang w:eastAsia="en-US"/>
        </w:rPr>
        <w:t xml:space="preserve"> 34.90</w:t>
      </w:r>
      <w:r>
        <w:rPr>
          <w:rFonts w:ascii="FangSong_GB2312" w:hAnsi="FangSong_GB2312" w:eastAsia="FangSong_GB2312" w:cs="FangSong_GB2312"/>
          <w:kern w:val="0"/>
          <w:sz w:val="32"/>
          <w:szCs w:val="32"/>
        </w:rPr>
        <w:t>万元。其中：</w:t>
      </w:r>
    </w:p>
    <w:p w14:paraId="3D76B2DC">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eastAsia="zh-CN"/>
        </w:rPr>
        <w:t>审计事务</w:t>
      </w:r>
      <w:r>
        <w:rPr>
          <w:rFonts w:ascii="FangSong_GB2312" w:hAnsi="FangSong_GB2312" w:eastAsia="FangSong_GB2312" w:cs="FangSong_GB2312"/>
          <w:kern w:val="0"/>
          <w:sz w:val="32"/>
          <w:szCs w:val="32"/>
        </w:rPr>
        <w:t>（款）行政运行（项）。年初预算</w:t>
      </w:r>
      <w:r>
        <w:rPr>
          <w:rFonts w:hint="eastAsia"/>
          <w:kern w:val="0"/>
          <w:sz w:val="32"/>
          <w:szCs w:val="32"/>
          <w:u w:val="single"/>
          <w:lang w:val="en-US" w:eastAsia="zh-CN"/>
        </w:rPr>
        <w:t>440.72</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402.89</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91.41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eastAsia="zh-CN"/>
        </w:rPr>
        <w:t>进行了指标调剂</w:t>
      </w:r>
      <w:r>
        <w:rPr>
          <w:rFonts w:ascii="FangSong_GB2312" w:hAnsi="FangSong_GB2312" w:eastAsia="FangSong_GB2312" w:cs="FangSong_GB2312"/>
          <w:kern w:val="0"/>
          <w:sz w:val="32"/>
          <w:szCs w:val="32"/>
        </w:rPr>
        <w:t>。</w:t>
      </w:r>
    </w:p>
    <w:p w14:paraId="0019496A">
      <w:pPr>
        <w:pStyle w:val="28"/>
        <w:widowControl/>
        <w:spacing w:before="240" w:after="240" w:line="560" w:lineRule="atLeast"/>
        <w:ind w:firstLine="640"/>
        <w:jc w:val="left"/>
        <w:rPr>
          <w:rFonts w:ascii="FangSong_GB2312" w:hAnsi="FangSong_GB2312" w:eastAsia="FangSong_GB2312" w:cs="FangSong_GB2312"/>
          <w:kern w:val="0"/>
          <w:sz w:val="32"/>
          <w:szCs w:val="32"/>
        </w:rPr>
      </w:pPr>
      <w:r>
        <w:rPr>
          <w:rFonts w:eastAsia="Times New Roman"/>
          <w:kern w:val="0"/>
          <w:sz w:val="32"/>
          <w:szCs w:val="32"/>
          <w:lang w:eastAsia="en-US"/>
        </w:rPr>
        <w:t>2</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eastAsia="zh-CN"/>
        </w:rPr>
        <w:t>审计事务</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lang w:eastAsia="zh-CN"/>
        </w:rPr>
        <w:t>审计业务</w:t>
      </w:r>
      <w:r>
        <w:rPr>
          <w:rFonts w:ascii="FangSong_GB2312" w:hAnsi="FangSong_GB2312" w:eastAsia="FangSong_GB2312" w:cs="FangSong_GB2312"/>
          <w:kern w:val="0"/>
          <w:sz w:val="32"/>
          <w:szCs w:val="32"/>
        </w:rPr>
        <w:t>（项）</w:t>
      </w:r>
      <w:r>
        <w:rPr>
          <w:rFonts w:hint="eastAsia" w:ascii="FangSong_GB2312" w:hAnsi="FangSong_GB2312" w:eastAsia="FangSong_GB2312" w:cs="FangSong_GB2312"/>
          <w:kern w:val="0"/>
          <w:sz w:val="32"/>
          <w:szCs w:val="32"/>
          <w:lang w:eastAsia="zh-CN"/>
        </w:rPr>
        <w:t>。</w:t>
      </w:r>
      <w:r>
        <w:rPr>
          <w:rFonts w:ascii="FangSong_GB2312" w:hAnsi="FangSong_GB2312" w:eastAsia="FangSong_GB2312" w:cs="FangSong_GB2312"/>
          <w:kern w:val="0"/>
          <w:sz w:val="32"/>
          <w:szCs w:val="32"/>
        </w:rPr>
        <w:t>年初预算</w:t>
      </w:r>
      <w:r>
        <w:rPr>
          <w:rFonts w:hint="eastAsia"/>
          <w:kern w:val="0"/>
          <w:sz w:val="32"/>
          <w:szCs w:val="32"/>
          <w:u w:val="single"/>
          <w:lang w:val="en-US" w:eastAsia="zh-CN"/>
        </w:rPr>
        <w:t>0</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72.82</w:t>
      </w:r>
      <w:r>
        <w:rPr>
          <w:rFonts w:ascii="FangSong_GB2312" w:hAnsi="FangSong_GB2312" w:eastAsia="FangSong_GB2312" w:cs="FangSong_GB2312"/>
          <w:kern w:val="0"/>
          <w:sz w:val="32"/>
          <w:szCs w:val="32"/>
        </w:rPr>
        <w:t>万元，</w:t>
      </w:r>
      <w:r>
        <w:rPr>
          <w:rFonts w:hint="eastAsia" w:ascii="FangSong_GB2312" w:hAnsi="FangSong_GB2312" w:eastAsia="FangSong_GB2312" w:cs="FangSong_GB2312"/>
          <w:kern w:val="0"/>
          <w:sz w:val="32"/>
          <w:szCs w:val="32"/>
          <w:lang w:eastAsia="zh-CN"/>
        </w:rPr>
        <w:t>因基数为</w:t>
      </w:r>
      <w:r>
        <w:rPr>
          <w:rFonts w:hint="eastAsia" w:ascii="FangSong_GB2312" w:hAnsi="FangSong_GB2312" w:eastAsia="FangSong_GB2312" w:cs="FangSong_GB2312"/>
          <w:kern w:val="0"/>
          <w:sz w:val="32"/>
          <w:szCs w:val="32"/>
          <w:lang w:val="en-US" w:eastAsia="zh-CN"/>
        </w:rPr>
        <w:t>0无法计算完成比率</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eastAsia="zh-CN"/>
        </w:rPr>
        <w:t>进行了项目追加</w:t>
      </w:r>
      <w:r>
        <w:rPr>
          <w:rFonts w:ascii="FangSong_GB2312" w:hAnsi="FangSong_GB2312" w:eastAsia="FangSong_GB2312" w:cs="FangSong_GB2312"/>
          <w:kern w:val="0"/>
          <w:sz w:val="32"/>
          <w:szCs w:val="32"/>
        </w:rPr>
        <w:t>。</w:t>
      </w:r>
    </w:p>
    <w:p w14:paraId="20E6B8E2">
      <w:pPr>
        <w:pStyle w:val="28"/>
        <w:widowControl/>
        <w:spacing w:before="240" w:after="240" w:line="560" w:lineRule="atLeast"/>
        <w:ind w:firstLine="640"/>
        <w:jc w:val="left"/>
        <w:rPr>
          <w:rFonts w:ascii="FangSong_GB2312" w:hAnsi="FangSong_GB2312" w:eastAsia="FangSong_GB2312" w:cs="FangSong_GB2312"/>
          <w:kern w:val="0"/>
          <w:sz w:val="32"/>
          <w:szCs w:val="32"/>
        </w:rPr>
      </w:pPr>
      <w:r>
        <w:rPr>
          <w:rFonts w:hint="eastAsia" w:ascii="FangSong_GB2312" w:hAnsi="FangSong_GB2312" w:eastAsia="FangSong_GB2312" w:cs="FangSong_GB2312"/>
          <w:kern w:val="0"/>
          <w:sz w:val="32"/>
          <w:szCs w:val="32"/>
          <w:lang w:val="en-US" w:eastAsia="zh-CN"/>
        </w:rPr>
        <w:t>3.</w:t>
      </w:r>
      <w:r>
        <w:rPr>
          <w:rFonts w:hint="eastAsia" w:ascii="FangSong_GB2312" w:hAnsi="FangSong_GB2312" w:eastAsia="FangSong_GB2312" w:cs="FangSong_GB2312"/>
          <w:kern w:val="0"/>
          <w:sz w:val="32"/>
          <w:szCs w:val="32"/>
          <w:lang w:eastAsia="zh-CN"/>
        </w:rPr>
        <w:t>审计事务</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lang w:eastAsia="zh-CN"/>
        </w:rPr>
        <w:t>其他审计业务支出</w:t>
      </w:r>
      <w:r>
        <w:rPr>
          <w:rFonts w:ascii="FangSong_GB2312" w:hAnsi="FangSong_GB2312" w:eastAsia="FangSong_GB2312" w:cs="FangSong_GB2312"/>
          <w:kern w:val="0"/>
          <w:sz w:val="32"/>
          <w:szCs w:val="32"/>
        </w:rPr>
        <w:t>（项）</w:t>
      </w:r>
      <w:r>
        <w:rPr>
          <w:rFonts w:hint="eastAsia" w:ascii="FangSong_GB2312" w:hAnsi="FangSong_GB2312" w:eastAsia="FangSong_GB2312" w:cs="FangSong_GB2312"/>
          <w:kern w:val="0"/>
          <w:sz w:val="32"/>
          <w:szCs w:val="32"/>
          <w:lang w:eastAsia="zh-CN"/>
        </w:rPr>
        <w:t>。</w:t>
      </w:r>
      <w:r>
        <w:rPr>
          <w:rFonts w:ascii="FangSong_GB2312" w:hAnsi="FangSong_GB2312" w:eastAsia="FangSong_GB2312" w:cs="FangSong_GB2312"/>
          <w:kern w:val="0"/>
          <w:sz w:val="32"/>
          <w:szCs w:val="32"/>
        </w:rPr>
        <w:t>年初预算</w:t>
      </w:r>
      <w:r>
        <w:rPr>
          <w:rFonts w:hint="eastAsia"/>
          <w:kern w:val="0"/>
          <w:sz w:val="32"/>
          <w:szCs w:val="32"/>
          <w:u w:val="single"/>
          <w:lang w:val="en-US" w:eastAsia="zh-CN"/>
        </w:rPr>
        <w:t>0</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6</w:t>
      </w:r>
      <w:r>
        <w:rPr>
          <w:rFonts w:ascii="FangSong_GB2312" w:hAnsi="FangSong_GB2312" w:eastAsia="FangSong_GB2312" w:cs="FangSong_GB2312"/>
          <w:kern w:val="0"/>
          <w:sz w:val="32"/>
          <w:szCs w:val="32"/>
        </w:rPr>
        <w:t>万元，</w:t>
      </w:r>
      <w:r>
        <w:rPr>
          <w:rFonts w:hint="eastAsia" w:ascii="FangSong_GB2312" w:hAnsi="FangSong_GB2312" w:eastAsia="FangSong_GB2312" w:cs="FangSong_GB2312"/>
          <w:kern w:val="0"/>
          <w:sz w:val="32"/>
          <w:szCs w:val="32"/>
          <w:lang w:eastAsia="zh-CN"/>
        </w:rPr>
        <w:t>因基数为</w:t>
      </w:r>
      <w:r>
        <w:rPr>
          <w:rFonts w:hint="eastAsia" w:ascii="FangSong_GB2312" w:hAnsi="FangSong_GB2312" w:eastAsia="FangSong_GB2312" w:cs="FangSong_GB2312"/>
          <w:kern w:val="0"/>
          <w:sz w:val="32"/>
          <w:szCs w:val="32"/>
          <w:lang w:val="en-US" w:eastAsia="zh-CN"/>
        </w:rPr>
        <w:t>0无法计算完成比率</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eastAsia="zh-CN"/>
        </w:rPr>
        <w:t>进行了项目追加</w:t>
      </w:r>
      <w:r>
        <w:rPr>
          <w:rFonts w:ascii="FangSong_GB2312" w:hAnsi="FangSong_GB2312" w:eastAsia="FangSong_GB2312" w:cs="FangSong_GB2312"/>
          <w:kern w:val="0"/>
          <w:sz w:val="32"/>
          <w:szCs w:val="32"/>
        </w:rPr>
        <w:t>。</w:t>
      </w:r>
    </w:p>
    <w:p w14:paraId="445B7C7B">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eastAsia="zh-CN"/>
        </w:rPr>
        <w:t>二</w:t>
      </w:r>
      <w:r>
        <w:rPr>
          <w:rFonts w:ascii="楷体" w:hAnsi="楷体" w:eastAsia="楷体" w:cs="楷体"/>
          <w:b/>
          <w:bCs/>
          <w:kern w:val="0"/>
          <w:sz w:val="32"/>
          <w:szCs w:val="32"/>
        </w:rPr>
        <w:t>）社会保障和就业支出（类）</w:t>
      </w:r>
    </w:p>
    <w:p w14:paraId="36101C9D">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社会保障和就业支出（类）决算数为</w:t>
      </w:r>
      <w:r>
        <w:rPr>
          <w:rFonts w:eastAsia="Times New Roman"/>
          <w:kern w:val="0"/>
          <w:sz w:val="32"/>
          <w:szCs w:val="32"/>
          <w:u w:val="single"/>
          <w:lang w:eastAsia="en-US"/>
        </w:rPr>
        <w:t xml:space="preserve"> 37.92</w:t>
      </w:r>
      <w:r>
        <w:rPr>
          <w:rFonts w:ascii="FangSong_GB2312" w:hAnsi="FangSong_GB2312" w:eastAsia="FangSong_GB2312" w:cs="FangSong_GB2312"/>
          <w:kern w:val="0"/>
          <w:sz w:val="32"/>
          <w:szCs w:val="32"/>
        </w:rPr>
        <w:t>万元，与年初预算相比减少</w:t>
      </w:r>
      <w:r>
        <w:rPr>
          <w:rFonts w:eastAsia="Times New Roman"/>
          <w:kern w:val="0"/>
          <w:sz w:val="32"/>
          <w:szCs w:val="32"/>
          <w:u w:val="single"/>
          <w:lang w:eastAsia="en-US"/>
        </w:rPr>
        <w:t>42.92</w:t>
      </w:r>
      <w:r>
        <w:rPr>
          <w:rFonts w:ascii="FangSong_GB2312" w:hAnsi="FangSong_GB2312" w:eastAsia="FangSong_GB2312" w:cs="FangSong_GB2312"/>
          <w:kern w:val="0"/>
          <w:sz w:val="32"/>
          <w:szCs w:val="32"/>
        </w:rPr>
        <w:t>万元。其中：</w:t>
      </w:r>
    </w:p>
    <w:p w14:paraId="4846166D">
      <w:pPr>
        <w:pStyle w:val="28"/>
        <w:widowControl/>
        <w:spacing w:before="240" w:after="240" w:line="560" w:lineRule="atLeast"/>
        <w:ind w:firstLine="640"/>
        <w:jc w:val="left"/>
        <w:rPr>
          <w:rFonts w:ascii="Times New Roman" w:hAnsi="Times New Roman" w:eastAsia="Times New Roman" w:cs="Times New Roman"/>
          <w:kern w:val="0"/>
          <w:sz w:val="24"/>
        </w:rPr>
      </w:pPr>
      <w:r>
        <w:rPr>
          <w:rFonts w:hint="eastAsia" w:ascii="FangSong_GB2312" w:hAnsi="FangSong_GB2312" w:eastAsia="FangSong_GB2312" w:cs="FangSong_GB2312"/>
          <w:kern w:val="0"/>
          <w:sz w:val="32"/>
          <w:szCs w:val="32"/>
          <w:lang w:val="en-US" w:eastAsia="zh-CN"/>
        </w:rPr>
        <w:t>1</w:t>
      </w:r>
      <w:r>
        <w:rPr>
          <w:rFonts w:ascii="FangSong_GB2312" w:hAnsi="FangSong_GB2312" w:eastAsia="FangSong_GB2312" w:cs="FangSong_GB2312"/>
          <w:kern w:val="0"/>
          <w:sz w:val="32"/>
          <w:szCs w:val="32"/>
        </w:rPr>
        <w:t>．行政事业单位养老支出（款）机关事业单位基本养老保险缴费支出（项）。年初预算</w:t>
      </w:r>
      <w:r>
        <w:rPr>
          <w:rFonts w:hint="eastAsia"/>
          <w:kern w:val="0"/>
          <w:sz w:val="32"/>
          <w:szCs w:val="32"/>
          <w:u w:val="single"/>
          <w:lang w:val="en-US" w:eastAsia="zh-CN"/>
        </w:rPr>
        <w:t>52.25</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37.04</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70.89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eastAsia="zh-CN"/>
        </w:rPr>
        <w:t>人员变动，缴费基数变化</w:t>
      </w:r>
      <w:r>
        <w:rPr>
          <w:rFonts w:ascii="FangSong_GB2312" w:hAnsi="FangSong_GB2312" w:eastAsia="FangSong_GB2312" w:cs="FangSong_GB2312"/>
          <w:kern w:val="0"/>
          <w:sz w:val="32"/>
          <w:szCs w:val="32"/>
        </w:rPr>
        <w:t>。</w:t>
      </w:r>
    </w:p>
    <w:p w14:paraId="2431A17E">
      <w:pPr>
        <w:pStyle w:val="28"/>
        <w:widowControl/>
        <w:spacing w:before="240" w:after="240" w:line="560" w:lineRule="atLeast"/>
        <w:ind w:firstLine="640"/>
        <w:jc w:val="left"/>
        <w:rPr>
          <w:rFonts w:ascii="Times New Roman" w:hAnsi="Times New Roman" w:eastAsia="Times New Roman" w:cs="Times New Roman"/>
          <w:kern w:val="0"/>
          <w:sz w:val="24"/>
        </w:rPr>
      </w:pPr>
      <w:r>
        <w:rPr>
          <w:rFonts w:hint="eastAsia"/>
          <w:kern w:val="0"/>
          <w:sz w:val="32"/>
          <w:szCs w:val="32"/>
          <w:lang w:val="en-US" w:eastAsia="zh-CN"/>
        </w:rPr>
        <w:t>2</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eastAsia="zh-CN"/>
        </w:rPr>
        <w:t>其他社会保障和就业支出</w:t>
      </w:r>
      <w:r>
        <w:rPr>
          <w:rFonts w:ascii="FangSong_GB2312" w:hAnsi="FangSong_GB2312" w:eastAsia="FangSong_GB2312" w:cs="FangSong_GB2312"/>
          <w:kern w:val="0"/>
          <w:sz w:val="32"/>
          <w:szCs w:val="32"/>
        </w:rPr>
        <w:t>（款）</w:t>
      </w:r>
      <w:r>
        <w:rPr>
          <w:rFonts w:hint="eastAsia" w:ascii="FangSong_GB2312" w:hAnsi="FangSong_GB2312" w:eastAsia="FangSong_GB2312" w:cs="FangSong_GB2312"/>
          <w:kern w:val="0"/>
          <w:sz w:val="32"/>
          <w:szCs w:val="32"/>
          <w:lang w:eastAsia="zh-CN"/>
        </w:rPr>
        <w:t>其他社会保障和就业支出</w:t>
      </w:r>
      <w:r>
        <w:rPr>
          <w:rFonts w:ascii="FangSong_GB2312" w:hAnsi="FangSong_GB2312" w:eastAsia="FangSong_GB2312" w:cs="FangSong_GB2312"/>
          <w:kern w:val="0"/>
          <w:sz w:val="32"/>
          <w:szCs w:val="32"/>
        </w:rPr>
        <w:t>（项）。年初预</w:t>
      </w:r>
      <w:r>
        <w:rPr>
          <w:rFonts w:hint="eastAsia" w:ascii="FangSong_GB2312" w:hAnsi="FangSong_GB2312" w:eastAsia="FangSong_GB2312" w:cs="FangSong_GB2312"/>
          <w:kern w:val="0"/>
          <w:sz w:val="32"/>
          <w:szCs w:val="32"/>
          <w:lang w:val="en-US" w:eastAsia="zh-CN"/>
        </w:rPr>
        <w:t>2.46</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0.88</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35.77</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eastAsia="zh-CN"/>
        </w:rPr>
        <w:t>人员变动，缴费基数变化</w:t>
      </w:r>
      <w:r>
        <w:rPr>
          <w:rFonts w:ascii="FangSong_GB2312" w:hAnsi="FangSong_GB2312" w:eastAsia="FangSong_GB2312" w:cs="FangSong_GB2312"/>
          <w:kern w:val="0"/>
          <w:sz w:val="32"/>
          <w:szCs w:val="32"/>
        </w:rPr>
        <w:t>。</w:t>
      </w:r>
    </w:p>
    <w:p w14:paraId="3163FBC9">
      <w:pPr>
        <w:pStyle w:val="28"/>
        <w:widowControl/>
        <w:spacing w:before="240" w:after="240" w:line="560" w:lineRule="atLeast"/>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w:t>
      </w:r>
      <w:r>
        <w:rPr>
          <w:rFonts w:hint="eastAsia" w:ascii="楷体" w:hAnsi="楷体" w:eastAsia="楷体" w:cs="楷体"/>
          <w:b/>
          <w:bCs/>
          <w:kern w:val="0"/>
          <w:sz w:val="32"/>
          <w:szCs w:val="32"/>
          <w:lang w:eastAsia="zh-CN"/>
        </w:rPr>
        <w:t>三</w:t>
      </w:r>
      <w:r>
        <w:rPr>
          <w:rFonts w:ascii="楷体" w:hAnsi="楷体" w:eastAsia="楷体" w:cs="楷体"/>
          <w:b/>
          <w:bCs/>
          <w:kern w:val="0"/>
          <w:sz w:val="32"/>
          <w:szCs w:val="32"/>
        </w:rPr>
        <w:t>）住房保障支出（类）</w:t>
      </w:r>
    </w:p>
    <w:p w14:paraId="7F53A38A">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住房保障支出（类）决算数为</w:t>
      </w:r>
      <w:r>
        <w:rPr>
          <w:rFonts w:eastAsia="Times New Roman"/>
          <w:kern w:val="0"/>
          <w:sz w:val="32"/>
          <w:szCs w:val="32"/>
          <w:u w:val="single"/>
          <w:lang w:eastAsia="en-US"/>
        </w:rPr>
        <w:t xml:space="preserve"> 35.01</w:t>
      </w:r>
      <w:r>
        <w:rPr>
          <w:rFonts w:ascii="FangSong_GB2312" w:hAnsi="FangSong_GB2312" w:eastAsia="FangSong_GB2312" w:cs="FangSong_GB2312"/>
          <w:kern w:val="0"/>
          <w:sz w:val="32"/>
          <w:szCs w:val="32"/>
        </w:rPr>
        <w:t>万元，与年初预算相比减少</w:t>
      </w:r>
      <w:r>
        <w:rPr>
          <w:rFonts w:eastAsia="Times New Roman"/>
          <w:kern w:val="0"/>
          <w:sz w:val="32"/>
          <w:szCs w:val="32"/>
          <w:u w:val="single"/>
          <w:lang w:eastAsia="en-US"/>
        </w:rPr>
        <w:t>7.32</w:t>
      </w:r>
      <w:r>
        <w:rPr>
          <w:rFonts w:ascii="FangSong_GB2312" w:hAnsi="FangSong_GB2312" w:eastAsia="FangSong_GB2312" w:cs="FangSong_GB2312"/>
          <w:kern w:val="0"/>
          <w:sz w:val="32"/>
          <w:szCs w:val="32"/>
        </w:rPr>
        <w:t>万元。其中：</w:t>
      </w:r>
    </w:p>
    <w:p w14:paraId="3C91A8E5">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kern w:val="0"/>
          <w:sz w:val="32"/>
          <w:szCs w:val="32"/>
          <w:lang w:eastAsia="en-US"/>
        </w:rPr>
        <w:t>1</w:t>
      </w:r>
      <w:r>
        <w:rPr>
          <w:rFonts w:ascii="FangSong_GB2312" w:hAnsi="FangSong_GB2312" w:eastAsia="FangSong_GB2312" w:cs="FangSong_GB2312"/>
          <w:kern w:val="0"/>
          <w:sz w:val="32"/>
          <w:szCs w:val="32"/>
        </w:rPr>
        <w:t>．住房改革支出（款）住房公积金（项）。年初预算</w:t>
      </w:r>
      <w:r>
        <w:rPr>
          <w:rFonts w:hint="eastAsia"/>
          <w:kern w:val="0"/>
          <w:sz w:val="32"/>
          <w:szCs w:val="32"/>
          <w:u w:val="single"/>
          <w:lang w:val="en-US" w:eastAsia="zh-CN"/>
        </w:rPr>
        <w:t>42.33</w:t>
      </w:r>
      <w:r>
        <w:rPr>
          <w:rFonts w:ascii="FangSong_GB2312" w:hAnsi="FangSong_GB2312" w:eastAsia="FangSong_GB2312" w:cs="FangSong_GB2312"/>
          <w:kern w:val="0"/>
          <w:sz w:val="32"/>
          <w:szCs w:val="32"/>
        </w:rPr>
        <w:t>万元，支出决算</w:t>
      </w:r>
      <w:r>
        <w:rPr>
          <w:rFonts w:hint="eastAsia"/>
          <w:kern w:val="0"/>
          <w:sz w:val="32"/>
          <w:szCs w:val="32"/>
          <w:u w:val="single"/>
          <w:lang w:val="en-US" w:eastAsia="zh-CN"/>
        </w:rPr>
        <w:t>35.01</w:t>
      </w:r>
      <w:r>
        <w:rPr>
          <w:rFonts w:ascii="FangSong_GB2312" w:hAnsi="FangSong_GB2312" w:eastAsia="FangSong_GB2312" w:cs="FangSong_GB2312"/>
          <w:kern w:val="0"/>
          <w:sz w:val="32"/>
          <w:szCs w:val="32"/>
        </w:rPr>
        <w:t>万元，完成年初预算的</w:t>
      </w:r>
      <w:r>
        <w:rPr>
          <w:rFonts w:hint="eastAsia"/>
          <w:kern w:val="0"/>
          <w:sz w:val="32"/>
          <w:szCs w:val="32"/>
          <w:u w:val="single"/>
          <w:lang w:val="en-US" w:eastAsia="zh-CN"/>
        </w:rPr>
        <w:t>82.71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。决算数与年初预算数的差异原因：</w:t>
      </w:r>
      <w:r>
        <w:rPr>
          <w:rFonts w:hint="eastAsia" w:ascii="FangSong_GB2312" w:hAnsi="FangSong_GB2312" w:eastAsia="FangSong_GB2312" w:cs="FangSong_GB2312"/>
          <w:kern w:val="0"/>
          <w:sz w:val="32"/>
          <w:szCs w:val="32"/>
          <w:lang w:eastAsia="zh-CN"/>
        </w:rPr>
        <w:t>人员变动，缴费基数变化</w:t>
      </w:r>
      <w:r>
        <w:rPr>
          <w:rFonts w:ascii="FangSong_GB2312" w:hAnsi="FangSong_GB2312" w:eastAsia="FangSong_GB2312" w:cs="FangSong_GB2312"/>
          <w:kern w:val="0"/>
          <w:sz w:val="32"/>
          <w:szCs w:val="32"/>
        </w:rPr>
        <w:t>。</w:t>
      </w:r>
    </w:p>
    <w:p w14:paraId="5AD353FC">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六、一般公共预算财政拨款基本支出决算情况说明</w:t>
      </w:r>
    </w:p>
    <w:p w14:paraId="2DB80DE6">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赤峰市松山区审计局</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年度一般公共预算财政拨款基本支出决算</w:t>
      </w:r>
      <w:r>
        <w:rPr>
          <w:rFonts w:eastAsia="Times New Roman"/>
          <w:kern w:val="0"/>
          <w:sz w:val="32"/>
          <w:szCs w:val="32"/>
          <w:u w:val="single"/>
          <w:lang w:eastAsia="en-US"/>
        </w:rPr>
        <w:t xml:space="preserve"> 475.82</w:t>
      </w:r>
      <w:r>
        <w:rPr>
          <w:rFonts w:ascii="FangSong_GB2312" w:hAnsi="FangSong_GB2312" w:eastAsia="FangSong_GB2312" w:cs="FangSong_GB2312"/>
          <w:kern w:val="0"/>
          <w:sz w:val="32"/>
          <w:szCs w:val="32"/>
        </w:rPr>
        <w:t>万元，其中：</w:t>
      </w:r>
    </w:p>
    <w:p w14:paraId="05BCC4C8">
      <w:pPr>
        <w:pStyle w:val="28"/>
        <w:widowControl/>
        <w:spacing w:before="240" w:after="240" w:line="560" w:lineRule="atLeast"/>
        <w:ind w:firstLine="640"/>
        <w:jc w:val="left"/>
        <w:rPr>
          <w:rFonts w:ascii="Times New Roman" w:hAnsi="Times New Roman" w:eastAsia="Times New Roman" w:cs="Times New Roman"/>
          <w:kern w:val="0"/>
          <w:sz w:val="24"/>
        </w:rPr>
      </w:pPr>
      <w:r>
        <w:rPr>
          <w:rFonts w:ascii="楷体" w:hAnsi="楷体" w:eastAsia="楷体" w:cs="楷体"/>
          <w:b/>
          <w:bCs/>
          <w:kern w:val="0"/>
          <w:sz w:val="32"/>
          <w:szCs w:val="32"/>
        </w:rPr>
        <w:t>（一）人员经费</w:t>
      </w:r>
      <w:r>
        <w:rPr>
          <w:rFonts w:eastAsia="Times New Roman"/>
          <w:kern w:val="0"/>
          <w:sz w:val="32"/>
          <w:szCs w:val="32"/>
          <w:u w:val="single"/>
          <w:lang w:eastAsia="en-US"/>
        </w:rPr>
        <w:t xml:space="preserve"> 443.80</w:t>
      </w:r>
      <w:r>
        <w:rPr>
          <w:rFonts w:ascii="楷体" w:hAnsi="楷体" w:eastAsia="楷体" w:cs="楷体"/>
          <w:b/>
          <w:bCs/>
          <w:kern w:val="0"/>
          <w:sz w:val="32"/>
          <w:szCs w:val="32"/>
        </w:rPr>
        <w:t>万元。</w:t>
      </w:r>
      <w:r>
        <w:rPr>
          <w:rFonts w:ascii="FangSong_GB2312" w:hAnsi="FangSong_GB2312" w:eastAsia="FangSong_GB2312" w:cs="FangSong_GB2312"/>
          <w:kern w:val="0"/>
          <w:sz w:val="32"/>
          <w:szCs w:val="32"/>
        </w:rPr>
        <w:t>主要包括：基本工资</w:t>
      </w:r>
      <w:r>
        <w:rPr>
          <w:rFonts w:hint="eastAsia" w:ascii="FangSong_GB2312" w:hAnsi="FangSong_GB2312" w:eastAsia="FangSong_GB2312" w:cs="FangSong_GB2312"/>
          <w:kern w:val="0"/>
          <w:sz w:val="32"/>
          <w:szCs w:val="32"/>
          <w:lang w:val="en-US" w:eastAsia="zh-CN"/>
        </w:rPr>
        <w:t>146.5万元</w:t>
      </w:r>
      <w:r>
        <w:rPr>
          <w:rFonts w:ascii="FangSong_GB2312" w:hAnsi="FangSong_GB2312" w:eastAsia="FangSong_GB2312" w:cs="FangSong_GB2312"/>
          <w:kern w:val="0"/>
          <w:sz w:val="32"/>
          <w:szCs w:val="32"/>
        </w:rPr>
        <w:t>、津贴补贴</w:t>
      </w:r>
      <w:r>
        <w:rPr>
          <w:rFonts w:hint="eastAsia" w:ascii="FangSong_GB2312" w:hAnsi="FangSong_GB2312" w:eastAsia="FangSong_GB2312" w:cs="FangSong_GB2312"/>
          <w:kern w:val="0"/>
          <w:sz w:val="32"/>
          <w:szCs w:val="32"/>
          <w:lang w:val="en-US" w:eastAsia="zh-CN"/>
        </w:rPr>
        <w:t>110.97万元</w:t>
      </w:r>
      <w:r>
        <w:rPr>
          <w:rFonts w:ascii="FangSong_GB2312" w:hAnsi="FangSong_GB2312" w:eastAsia="FangSong_GB2312" w:cs="FangSong_GB2312"/>
          <w:kern w:val="0"/>
          <w:sz w:val="32"/>
          <w:szCs w:val="32"/>
        </w:rPr>
        <w:t>、奖金</w:t>
      </w:r>
      <w:r>
        <w:rPr>
          <w:rFonts w:hint="eastAsia" w:ascii="FangSong_GB2312" w:hAnsi="FangSong_GB2312" w:eastAsia="FangSong_GB2312" w:cs="FangSong_GB2312"/>
          <w:kern w:val="0"/>
          <w:sz w:val="32"/>
          <w:szCs w:val="32"/>
          <w:lang w:val="en-US" w:eastAsia="zh-CN"/>
        </w:rPr>
        <w:t>35.72万元</w:t>
      </w:r>
      <w:r>
        <w:rPr>
          <w:rFonts w:ascii="FangSong_GB2312" w:hAnsi="FangSong_GB2312" w:eastAsia="FangSong_GB2312" w:cs="FangSong_GB2312"/>
          <w:kern w:val="0"/>
          <w:sz w:val="32"/>
          <w:szCs w:val="32"/>
        </w:rPr>
        <w:t>、绩效工资</w:t>
      </w:r>
      <w:r>
        <w:rPr>
          <w:rFonts w:hint="eastAsia" w:ascii="FangSong_GB2312" w:hAnsi="FangSong_GB2312" w:eastAsia="FangSong_GB2312" w:cs="FangSong_GB2312"/>
          <w:kern w:val="0"/>
          <w:sz w:val="32"/>
          <w:szCs w:val="32"/>
          <w:lang w:val="en-US" w:eastAsia="zh-CN"/>
        </w:rPr>
        <w:t>16.8万元</w:t>
      </w:r>
      <w:r>
        <w:rPr>
          <w:rFonts w:ascii="FangSong_GB2312" w:hAnsi="FangSong_GB2312" w:eastAsia="FangSong_GB2312" w:cs="FangSong_GB2312"/>
          <w:kern w:val="0"/>
          <w:sz w:val="32"/>
          <w:szCs w:val="32"/>
        </w:rPr>
        <w:t>、机关事业单位基本养老保险缴费</w:t>
      </w:r>
      <w:r>
        <w:rPr>
          <w:rFonts w:hint="eastAsia" w:ascii="FangSong_GB2312" w:hAnsi="FangSong_GB2312" w:eastAsia="FangSong_GB2312" w:cs="FangSong_GB2312"/>
          <w:kern w:val="0"/>
          <w:sz w:val="32"/>
          <w:szCs w:val="32"/>
          <w:lang w:val="en-US" w:eastAsia="zh-CN"/>
        </w:rPr>
        <w:t>37.04万元</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eastAsia="zh-CN"/>
        </w:rPr>
        <w:t>其他社会保障缴费</w:t>
      </w:r>
      <w:r>
        <w:rPr>
          <w:rFonts w:hint="eastAsia" w:ascii="FangSong_GB2312" w:hAnsi="FangSong_GB2312" w:eastAsia="FangSong_GB2312" w:cs="FangSong_GB2312"/>
          <w:kern w:val="0"/>
          <w:sz w:val="32"/>
          <w:szCs w:val="32"/>
          <w:lang w:val="en-US" w:eastAsia="zh-CN"/>
        </w:rPr>
        <w:t>0.88万元、</w:t>
      </w:r>
      <w:r>
        <w:rPr>
          <w:rFonts w:ascii="FangSong_GB2312" w:hAnsi="FangSong_GB2312" w:eastAsia="FangSong_GB2312" w:cs="FangSong_GB2312"/>
          <w:kern w:val="0"/>
          <w:sz w:val="32"/>
          <w:szCs w:val="32"/>
        </w:rPr>
        <w:t>职工基本医疗保险缴费</w:t>
      </w:r>
      <w:r>
        <w:rPr>
          <w:rFonts w:hint="eastAsia" w:ascii="FangSong_GB2312" w:hAnsi="FangSong_GB2312" w:eastAsia="FangSong_GB2312" w:cs="FangSong_GB2312"/>
          <w:kern w:val="0"/>
          <w:sz w:val="32"/>
          <w:szCs w:val="32"/>
          <w:lang w:val="en-US" w:eastAsia="zh-CN"/>
        </w:rPr>
        <w:t>21.42万元</w:t>
      </w:r>
      <w:r>
        <w:rPr>
          <w:rFonts w:ascii="FangSong_GB2312" w:hAnsi="FangSong_GB2312" w:eastAsia="FangSong_GB2312" w:cs="FangSong_GB2312"/>
          <w:kern w:val="0"/>
          <w:sz w:val="32"/>
          <w:szCs w:val="32"/>
        </w:rPr>
        <w:t>、住房公积金</w:t>
      </w:r>
      <w:r>
        <w:rPr>
          <w:rFonts w:hint="eastAsia" w:ascii="FangSong_GB2312" w:hAnsi="FangSong_GB2312" w:eastAsia="FangSong_GB2312" w:cs="FangSong_GB2312"/>
          <w:kern w:val="0"/>
          <w:sz w:val="32"/>
          <w:szCs w:val="32"/>
          <w:lang w:val="en-US" w:eastAsia="zh-CN"/>
        </w:rPr>
        <w:t>35.01万元</w:t>
      </w:r>
      <w:r>
        <w:rPr>
          <w:rFonts w:ascii="FangSong_GB2312" w:hAnsi="FangSong_GB2312" w:eastAsia="FangSong_GB2312" w:cs="FangSong_GB2312"/>
          <w:kern w:val="0"/>
          <w:sz w:val="32"/>
          <w:szCs w:val="32"/>
        </w:rPr>
        <w:t>、其他工资福利支出</w:t>
      </w:r>
      <w:r>
        <w:rPr>
          <w:rFonts w:hint="eastAsia" w:ascii="FangSong_GB2312" w:hAnsi="FangSong_GB2312" w:eastAsia="FangSong_GB2312" w:cs="FangSong_GB2312"/>
          <w:kern w:val="0"/>
          <w:sz w:val="32"/>
          <w:szCs w:val="32"/>
          <w:lang w:val="en-US" w:eastAsia="zh-CN"/>
        </w:rPr>
        <w:t>39.46万元</w:t>
      </w:r>
      <w:r>
        <w:rPr>
          <w:rFonts w:ascii="FangSong_GB2312" w:hAnsi="FangSong_GB2312" w:eastAsia="FangSong_GB2312" w:cs="FangSong_GB2312"/>
          <w:kern w:val="0"/>
          <w:sz w:val="32"/>
          <w:szCs w:val="32"/>
        </w:rPr>
        <w:t>。</w:t>
      </w:r>
    </w:p>
    <w:p w14:paraId="466CB446">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（二）公用经费</w:t>
      </w:r>
      <w:r>
        <w:rPr>
          <w:rFonts w:eastAsia="Times New Roman"/>
          <w:kern w:val="0"/>
          <w:sz w:val="32"/>
          <w:szCs w:val="32"/>
          <w:u w:val="single"/>
          <w:lang w:eastAsia="en-US"/>
        </w:rPr>
        <w:t xml:space="preserve"> 32.03</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w:t>
      </w:r>
      <w:r>
        <w:rPr>
          <w:rFonts w:hint="eastAsia" w:ascii="FangSong_GB2312" w:hAnsi="FangSong_GB2312" w:eastAsia="FangSong_GB2312" w:cs="FangSong_GB2312"/>
          <w:kern w:val="0"/>
          <w:sz w:val="32"/>
          <w:szCs w:val="32"/>
          <w:lang w:val="en-US" w:eastAsia="zh-CN"/>
        </w:rPr>
        <w:t>14万元</w:t>
      </w:r>
      <w:r>
        <w:rPr>
          <w:rFonts w:ascii="FangSong_GB2312" w:hAnsi="FangSong_GB2312" w:eastAsia="FangSong_GB2312" w:cs="FangSong_GB2312"/>
          <w:kern w:val="0"/>
          <w:sz w:val="32"/>
          <w:szCs w:val="32"/>
        </w:rPr>
        <w:t>、福利费</w:t>
      </w:r>
      <w:r>
        <w:rPr>
          <w:rFonts w:hint="eastAsia" w:ascii="FangSong_GB2312" w:hAnsi="FangSong_GB2312" w:eastAsia="FangSong_GB2312" w:cs="FangSong_GB2312"/>
          <w:kern w:val="0"/>
          <w:sz w:val="32"/>
          <w:szCs w:val="32"/>
          <w:lang w:val="en-US" w:eastAsia="zh-CN"/>
        </w:rPr>
        <w:t>0.84万元</w:t>
      </w:r>
      <w:r>
        <w:rPr>
          <w:rFonts w:ascii="FangSong_GB2312" w:hAnsi="FangSong_GB2312" w:eastAsia="FangSong_GB2312" w:cs="FangSong_GB2312"/>
          <w:kern w:val="0"/>
          <w:sz w:val="32"/>
          <w:szCs w:val="32"/>
        </w:rPr>
        <w:t>、公务用车运行维护费</w:t>
      </w:r>
      <w:r>
        <w:rPr>
          <w:rFonts w:hint="eastAsia" w:ascii="FangSong_GB2312" w:hAnsi="FangSong_GB2312" w:eastAsia="FangSong_GB2312" w:cs="FangSong_GB2312"/>
          <w:kern w:val="0"/>
          <w:sz w:val="32"/>
          <w:szCs w:val="32"/>
          <w:lang w:val="en-US" w:eastAsia="zh-CN"/>
        </w:rPr>
        <w:t>0.99万元</w:t>
      </w:r>
      <w:r>
        <w:rPr>
          <w:rFonts w:ascii="FangSong_GB2312" w:hAnsi="FangSong_GB2312" w:eastAsia="FangSong_GB2312" w:cs="FangSong_GB2312"/>
          <w:kern w:val="0"/>
          <w:sz w:val="32"/>
          <w:szCs w:val="32"/>
        </w:rPr>
        <w:t>、其他交通费用</w:t>
      </w:r>
      <w:r>
        <w:rPr>
          <w:rFonts w:hint="eastAsia" w:ascii="FangSong_GB2312" w:hAnsi="FangSong_GB2312" w:eastAsia="FangSong_GB2312" w:cs="FangSong_GB2312"/>
          <w:kern w:val="0"/>
          <w:sz w:val="32"/>
          <w:szCs w:val="32"/>
          <w:lang w:val="en-US" w:eastAsia="zh-CN"/>
        </w:rPr>
        <w:t>16.2万元</w:t>
      </w:r>
      <w:r>
        <w:rPr>
          <w:rFonts w:ascii="FangSong_GB2312" w:hAnsi="FangSong_GB2312" w:eastAsia="FangSong_GB2312" w:cs="FangSong_GB2312"/>
          <w:kern w:val="0"/>
          <w:sz w:val="32"/>
          <w:szCs w:val="32"/>
        </w:rPr>
        <w:t>。</w:t>
      </w:r>
    </w:p>
    <w:p w14:paraId="36927168">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七、一般公共预算财政拨款项目支出决算情况说明</w:t>
      </w:r>
    </w:p>
    <w:p w14:paraId="2674A3D9">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赤峰市松山区审计局</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年度一般公共预算财政拨款项目支出决算</w:t>
      </w:r>
      <w:r>
        <w:rPr>
          <w:rFonts w:eastAsia="Times New Roman"/>
          <w:kern w:val="0"/>
          <w:sz w:val="32"/>
          <w:szCs w:val="32"/>
          <w:u w:val="single"/>
          <w:lang w:eastAsia="en-US"/>
        </w:rPr>
        <w:t xml:space="preserve"> 77.82</w:t>
      </w:r>
      <w:r>
        <w:rPr>
          <w:rFonts w:ascii="FangSong_GB2312" w:hAnsi="FangSong_GB2312" w:eastAsia="FangSong_GB2312" w:cs="FangSong_GB2312"/>
          <w:kern w:val="0"/>
          <w:sz w:val="32"/>
          <w:szCs w:val="32"/>
        </w:rPr>
        <w:t>万元，其中：</w:t>
      </w:r>
    </w:p>
    <w:p w14:paraId="02F0BAFD">
      <w:pPr>
        <w:pStyle w:val="28"/>
        <w:widowControl/>
        <w:numPr>
          <w:ilvl w:val="0"/>
          <w:numId w:val="1"/>
        </w:numPr>
        <w:spacing w:before="240" w:after="240" w:line="560" w:lineRule="atLeast"/>
        <w:ind w:firstLine="640"/>
        <w:jc w:val="left"/>
        <w:rPr>
          <w:rFonts w:ascii="FangSong_GB2312" w:hAnsi="FangSong_GB2312" w:eastAsia="FangSong_GB2312" w:cs="FangSong_GB2312"/>
          <w:b/>
          <w:bCs/>
          <w:kern w:val="0"/>
          <w:sz w:val="32"/>
          <w:szCs w:val="32"/>
        </w:rPr>
      </w:pPr>
      <w:r>
        <w:rPr>
          <w:rFonts w:ascii="FangSong_GB2312" w:hAnsi="FangSong_GB2312" w:eastAsia="FangSong_GB2312" w:cs="FangSong_GB2312"/>
          <w:b/>
          <w:bCs/>
          <w:kern w:val="0"/>
          <w:sz w:val="32"/>
          <w:szCs w:val="32"/>
        </w:rPr>
        <w:t>工资福利支出</w:t>
      </w:r>
      <w:r>
        <w:rPr>
          <w:rFonts w:eastAsia="Times New Roman"/>
          <w:kern w:val="0"/>
          <w:sz w:val="32"/>
          <w:szCs w:val="32"/>
          <w:u w:val="single"/>
          <w:lang w:eastAsia="en-US"/>
        </w:rPr>
        <w:t xml:space="preserve"> 0</w:t>
      </w:r>
      <w:r>
        <w:rPr>
          <w:rFonts w:ascii="FangSong_GB2312" w:hAnsi="FangSong_GB2312" w:eastAsia="FangSong_GB2312" w:cs="FangSong_GB2312"/>
          <w:b/>
          <w:bCs/>
          <w:kern w:val="0"/>
          <w:sz w:val="32"/>
          <w:szCs w:val="32"/>
        </w:rPr>
        <w:t>万元。</w:t>
      </w:r>
    </w:p>
    <w:p w14:paraId="15CFC971">
      <w:pPr>
        <w:pStyle w:val="28"/>
        <w:widowControl/>
        <w:numPr>
          <w:ilvl w:val="0"/>
          <w:numId w:val="0"/>
        </w:numPr>
        <w:spacing w:before="240" w:after="240" w:line="560" w:lineRule="atLeast"/>
        <w:ind w:firstLine="643" w:firstLineChars="20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（二）商品和服务支出</w:t>
      </w:r>
      <w:r>
        <w:rPr>
          <w:rFonts w:eastAsia="Times New Roman"/>
          <w:kern w:val="0"/>
          <w:sz w:val="32"/>
          <w:szCs w:val="32"/>
          <w:u w:val="single"/>
          <w:lang w:eastAsia="en-US"/>
        </w:rPr>
        <w:t xml:space="preserve"> 77.82</w:t>
      </w:r>
      <w:r>
        <w:rPr>
          <w:rFonts w:ascii="FangSong_GB2312" w:hAnsi="FangSong_GB2312" w:eastAsia="FangSong_GB2312" w:cs="FangSong_GB2312"/>
          <w:b/>
          <w:bCs/>
          <w:kern w:val="0"/>
          <w:sz w:val="32"/>
          <w:szCs w:val="32"/>
        </w:rPr>
        <w:t>万元。</w:t>
      </w:r>
      <w:r>
        <w:rPr>
          <w:rFonts w:ascii="FangSong_GB2312" w:hAnsi="FangSong_GB2312" w:eastAsia="FangSong_GB2312" w:cs="FangSong_GB2312"/>
          <w:kern w:val="0"/>
          <w:sz w:val="32"/>
          <w:szCs w:val="32"/>
        </w:rPr>
        <w:t>主要包括：办公费</w:t>
      </w:r>
      <w:r>
        <w:rPr>
          <w:rFonts w:hint="eastAsia" w:ascii="FangSong_GB2312" w:hAnsi="FangSong_GB2312" w:eastAsia="FangSong_GB2312" w:cs="FangSong_GB2312"/>
          <w:kern w:val="0"/>
          <w:sz w:val="32"/>
          <w:szCs w:val="32"/>
          <w:lang w:val="en-US" w:eastAsia="zh-CN"/>
        </w:rPr>
        <w:t>50.04万元</w:t>
      </w:r>
      <w:r>
        <w:rPr>
          <w:rFonts w:ascii="FangSong_GB2312" w:hAnsi="FangSong_GB2312" w:eastAsia="FangSong_GB2312" w:cs="FangSong_GB2312"/>
          <w:kern w:val="0"/>
          <w:sz w:val="32"/>
          <w:szCs w:val="32"/>
        </w:rPr>
        <w:t>、差旅费</w:t>
      </w:r>
      <w:r>
        <w:rPr>
          <w:rFonts w:hint="eastAsia" w:ascii="FangSong_GB2312" w:hAnsi="FangSong_GB2312" w:eastAsia="FangSong_GB2312" w:cs="FangSong_GB2312"/>
          <w:kern w:val="0"/>
          <w:sz w:val="32"/>
          <w:szCs w:val="32"/>
          <w:lang w:val="en-US" w:eastAsia="zh-CN"/>
        </w:rPr>
        <w:t>6.24万元</w:t>
      </w:r>
      <w:r>
        <w:rPr>
          <w:rFonts w:ascii="FangSong_GB2312" w:hAnsi="FangSong_GB2312" w:eastAsia="FangSong_GB2312" w:cs="FangSong_GB2312"/>
          <w:kern w:val="0"/>
          <w:sz w:val="32"/>
          <w:szCs w:val="32"/>
        </w:rPr>
        <w:t>、培训费</w:t>
      </w:r>
      <w:r>
        <w:rPr>
          <w:rFonts w:hint="eastAsia" w:ascii="FangSong_GB2312" w:hAnsi="FangSong_GB2312" w:eastAsia="FangSong_GB2312" w:cs="FangSong_GB2312"/>
          <w:kern w:val="0"/>
          <w:sz w:val="32"/>
          <w:szCs w:val="32"/>
          <w:lang w:val="en-US" w:eastAsia="zh-CN"/>
        </w:rPr>
        <w:t>5万元</w:t>
      </w:r>
      <w:r>
        <w:rPr>
          <w:rFonts w:ascii="FangSong_GB2312" w:hAnsi="FangSong_GB2312" w:eastAsia="FangSong_GB2312" w:cs="FangSong_GB2312"/>
          <w:kern w:val="0"/>
          <w:sz w:val="32"/>
          <w:szCs w:val="32"/>
        </w:rPr>
        <w:t>、委托业务费</w:t>
      </w:r>
      <w:r>
        <w:rPr>
          <w:rFonts w:hint="eastAsia" w:ascii="FangSong_GB2312" w:hAnsi="FangSong_GB2312" w:eastAsia="FangSong_GB2312" w:cs="FangSong_GB2312"/>
          <w:kern w:val="0"/>
          <w:sz w:val="32"/>
          <w:szCs w:val="32"/>
          <w:lang w:val="en-US" w:eastAsia="zh-CN"/>
        </w:rPr>
        <w:t>11.54万元</w:t>
      </w:r>
      <w:r>
        <w:rPr>
          <w:rFonts w:ascii="FangSong_GB2312" w:hAnsi="FangSong_GB2312" w:eastAsia="FangSong_GB2312" w:cs="FangSong_GB2312"/>
          <w:kern w:val="0"/>
          <w:sz w:val="32"/>
          <w:szCs w:val="32"/>
        </w:rPr>
        <w:t>。</w:t>
      </w:r>
    </w:p>
    <w:p w14:paraId="4CAFCEED">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（三）资本性支出</w:t>
      </w:r>
      <w:r>
        <w:rPr>
          <w:rFonts w:eastAsia="Times New Roman"/>
          <w:kern w:val="0"/>
          <w:sz w:val="32"/>
          <w:szCs w:val="32"/>
          <w:u w:val="single"/>
          <w:lang w:eastAsia="en-US"/>
        </w:rPr>
        <w:t xml:space="preserve"> 0</w:t>
      </w:r>
      <w:r>
        <w:rPr>
          <w:rFonts w:ascii="FangSong_GB2312" w:hAnsi="FangSong_GB2312" w:eastAsia="FangSong_GB2312" w:cs="FangSong_GB2312"/>
          <w:b/>
          <w:bCs/>
          <w:kern w:val="0"/>
          <w:sz w:val="32"/>
          <w:szCs w:val="32"/>
        </w:rPr>
        <w:t>万元。</w:t>
      </w:r>
    </w:p>
    <w:p w14:paraId="07FDAA1E">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八、财政拨款</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三公</w:t>
      </w:r>
      <w:r>
        <w:rPr>
          <w:rFonts w:ascii="Times New Roman" w:hAnsi="Times New Roman" w:eastAsia="Times New Roman" w:cs="Times New Roman"/>
          <w:b/>
          <w:bCs/>
          <w:kern w:val="0"/>
          <w:sz w:val="32"/>
          <w:szCs w:val="32"/>
          <w:lang w:eastAsia="en-US"/>
        </w:rPr>
        <w:t>”</w:t>
      </w:r>
      <w:r>
        <w:rPr>
          <w:rFonts w:ascii="黑体" w:hAnsi="黑体" w:eastAsia="黑体" w:cs="黑体"/>
          <w:b/>
          <w:bCs/>
          <w:kern w:val="0"/>
          <w:sz w:val="32"/>
          <w:szCs w:val="32"/>
        </w:rPr>
        <w:t>经费支出决算情况说明</w:t>
      </w:r>
    </w:p>
    <w:p w14:paraId="7BD0BAAB">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经费支出总体情况说明。</w:t>
      </w:r>
    </w:p>
    <w:p w14:paraId="3D1E0F15">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赤峰市松山区审计局</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年度财政拨款“三公”经费全年预算</w:t>
      </w:r>
      <w:r>
        <w:rPr>
          <w:rFonts w:hint="eastAsia"/>
          <w:kern w:val="0"/>
          <w:sz w:val="32"/>
          <w:szCs w:val="32"/>
          <w:u w:val="single"/>
          <w:lang w:val="en-US" w:eastAsia="zh-CN"/>
        </w:rPr>
        <w:t>1</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0.99</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w:t>
      </w:r>
      <w:r>
        <w:rPr>
          <w:rFonts w:hint="eastAsia"/>
          <w:kern w:val="0"/>
          <w:sz w:val="32"/>
          <w:szCs w:val="32"/>
          <w:u w:val="single"/>
          <w:lang w:val="en-US" w:eastAsia="zh-CN"/>
        </w:rPr>
        <w:t>99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。其中：因公出国（境）费全年预算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；公务用车购置及运行维护费全年预算</w:t>
      </w:r>
      <w:r>
        <w:rPr>
          <w:rFonts w:hint="eastAsia"/>
          <w:kern w:val="0"/>
          <w:sz w:val="32"/>
          <w:szCs w:val="32"/>
          <w:u w:val="single"/>
          <w:lang w:val="en-US" w:eastAsia="zh-CN"/>
        </w:rPr>
        <w:t>1</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0.99</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99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；公务接待费全年预算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万元，完成预算的</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r>
        <w:rPr>
          <w:rFonts w:eastAsia="Times New Roman"/>
          <w:kern w:val="0"/>
          <w:sz w:val="32"/>
          <w:szCs w:val="32"/>
          <w:lang w:eastAsia="en-US"/>
        </w:rPr>
        <w:t>2025</w:t>
      </w:r>
      <w:r>
        <w:rPr>
          <w:rFonts w:ascii="FangSong_GB2312" w:hAnsi="FangSong_GB2312" w:eastAsia="FangSong_GB2312" w:cs="FangSong_GB2312"/>
          <w:kern w:val="0"/>
          <w:sz w:val="32"/>
          <w:szCs w:val="32"/>
        </w:rPr>
        <w:t>年度一般公共预算财政拨款“三公”经费全年预算</w:t>
      </w:r>
      <w:r>
        <w:rPr>
          <w:rFonts w:eastAsia="Times New Roman"/>
          <w:kern w:val="0"/>
          <w:sz w:val="32"/>
          <w:szCs w:val="32"/>
          <w:u w:val="single"/>
          <w:lang w:eastAsia="en-US"/>
        </w:rPr>
        <w:t xml:space="preserve"> </w:t>
      </w:r>
      <w:r>
        <w:rPr>
          <w:rFonts w:hint="eastAsia"/>
          <w:kern w:val="0"/>
          <w:sz w:val="32"/>
          <w:szCs w:val="32"/>
          <w:u w:val="single"/>
          <w:lang w:val="en-US" w:eastAsia="zh-CN"/>
        </w:rPr>
        <w:t>1</w:t>
      </w:r>
      <w:r>
        <w:rPr>
          <w:rFonts w:ascii="FangSong_GB2312" w:hAnsi="FangSong_GB2312" w:eastAsia="FangSong_GB2312" w:cs="FangSong_GB2312"/>
          <w:kern w:val="0"/>
          <w:sz w:val="32"/>
          <w:szCs w:val="32"/>
        </w:rPr>
        <w:t>万元，支出决算</w:t>
      </w:r>
      <w:r>
        <w:rPr>
          <w:rFonts w:eastAsia="Times New Roman"/>
          <w:kern w:val="0"/>
          <w:sz w:val="32"/>
          <w:szCs w:val="32"/>
          <w:u w:val="single"/>
          <w:lang w:eastAsia="en-US"/>
        </w:rPr>
        <w:t xml:space="preserve"> 0.99</w:t>
      </w:r>
      <w:r>
        <w:rPr>
          <w:rFonts w:ascii="FangSong_GB2312" w:hAnsi="FangSong_GB2312" w:eastAsia="FangSong_GB2312" w:cs="FangSong_GB2312"/>
          <w:kern w:val="0"/>
          <w:sz w:val="32"/>
          <w:szCs w:val="32"/>
        </w:rPr>
        <w:t>万元，与预算差异原因</w:t>
      </w:r>
      <w:r>
        <w:rPr>
          <w:rFonts w:hint="eastAsia" w:ascii="FangSong_GB2312" w:hAnsi="FangSong_GB2312" w:eastAsia="FangSong_GB2312" w:cs="FangSong_GB2312"/>
          <w:kern w:val="0"/>
          <w:sz w:val="32"/>
          <w:szCs w:val="32"/>
          <w:lang w:eastAsia="zh-CN"/>
        </w:rPr>
        <w:t>减少车辆运行维护费</w:t>
      </w:r>
      <w:r>
        <w:rPr>
          <w:rFonts w:ascii="FangSong_GB2312" w:hAnsi="FangSong_GB2312" w:eastAsia="FangSong_GB2312" w:cs="FangSong_GB2312"/>
          <w:kern w:val="0"/>
          <w:sz w:val="32"/>
          <w:szCs w:val="32"/>
        </w:rPr>
        <w:t>。</w:t>
      </w:r>
    </w:p>
    <w:p w14:paraId="1B103224">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（二）财政拨款</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三公</w:t>
      </w:r>
      <w:r>
        <w:rPr>
          <w:rFonts w:ascii="Times New Roman" w:hAnsi="Times New Roman" w:eastAsia="Times New Roman" w:cs="Times New Roman"/>
          <w:b/>
          <w:bCs/>
          <w:kern w:val="0"/>
          <w:sz w:val="32"/>
          <w:szCs w:val="32"/>
          <w:lang w:eastAsia="en-US"/>
        </w:rPr>
        <w:t>”</w:t>
      </w:r>
      <w:r>
        <w:rPr>
          <w:rFonts w:ascii="楷体" w:hAnsi="楷体" w:eastAsia="楷体" w:cs="楷体"/>
          <w:b/>
          <w:bCs/>
          <w:kern w:val="0"/>
          <w:sz w:val="32"/>
          <w:szCs w:val="32"/>
        </w:rPr>
        <w:t>经费支出具体情况说明。</w:t>
      </w:r>
    </w:p>
    <w:p w14:paraId="36223425">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赤峰市松山区审计局</w:t>
      </w:r>
      <w:r>
        <w:rPr>
          <w:rFonts w:ascii="Times New Roman" w:hAnsi="Times New Roman" w:eastAsia="Times New Roman" w:cs="Times New Roman"/>
          <w:kern w:val="0"/>
          <w:sz w:val="24"/>
        </w:rPr>
        <w:t xml:space="preserve"> </w:t>
      </w:r>
      <w:r>
        <w:rPr>
          <w:rFonts w:eastAsia="Times New Roman"/>
          <w:kern w:val="0"/>
          <w:sz w:val="32"/>
          <w:szCs w:val="32"/>
          <w:lang w:eastAsia="en-US"/>
        </w:rPr>
        <w:t>2025</w:t>
      </w:r>
      <w:r>
        <w:rPr>
          <w:rFonts w:ascii="FangSong_GB2312" w:hAnsi="FangSong_GB2312" w:eastAsia="FangSong_GB2312" w:cs="FangSong_GB2312"/>
          <w:kern w:val="0"/>
          <w:sz w:val="32"/>
          <w:szCs w:val="32"/>
        </w:rPr>
        <w:t>年度财政拨款“三公”经费支出</w:t>
      </w:r>
      <w:r>
        <w:rPr>
          <w:rFonts w:eastAsia="Times New Roman"/>
          <w:kern w:val="0"/>
          <w:sz w:val="32"/>
          <w:szCs w:val="32"/>
          <w:u w:val="single"/>
          <w:lang w:eastAsia="en-US"/>
        </w:rPr>
        <w:t xml:space="preserve"> 0.99</w:t>
      </w:r>
      <w:r>
        <w:rPr>
          <w:rFonts w:ascii="FangSong_GB2312" w:hAnsi="FangSong_GB2312" w:eastAsia="FangSong_GB2312" w:cs="FangSong_GB2312"/>
          <w:kern w:val="0"/>
          <w:sz w:val="32"/>
          <w:szCs w:val="32"/>
        </w:rPr>
        <w:t>万元。因公出国（境）费支出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；公务用车购置及运行维护费支出</w:t>
      </w:r>
      <w:r>
        <w:rPr>
          <w:rFonts w:eastAsia="Times New Roman"/>
          <w:kern w:val="0"/>
          <w:sz w:val="32"/>
          <w:szCs w:val="32"/>
          <w:u w:val="single"/>
          <w:lang w:eastAsia="en-US"/>
        </w:rPr>
        <w:t xml:space="preserve"> 0.99</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100.00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；公务接待费支出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w:t>
      </w:r>
    </w:p>
    <w:p w14:paraId="7CE1BFA9">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1</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因公出国（境）费支出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万元，全年出国（境）团组</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个，累计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不存在此项内容</w:t>
      </w:r>
      <w:r>
        <w:rPr>
          <w:rFonts w:ascii="FangSong_GB2312" w:hAnsi="FangSong_GB2312" w:eastAsia="FangSong_GB2312" w:cs="FangSong_GB2312"/>
          <w:kern w:val="0"/>
          <w:sz w:val="32"/>
          <w:szCs w:val="32"/>
        </w:rPr>
        <w:t>。</w:t>
      </w:r>
    </w:p>
    <w:p w14:paraId="4182B71F">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2</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公务用车购置及运行维护费支出</w:t>
      </w:r>
      <w:r>
        <w:rPr>
          <w:rFonts w:eastAsia="Times New Roman"/>
          <w:kern w:val="0"/>
          <w:sz w:val="32"/>
          <w:szCs w:val="32"/>
          <w:u w:val="single"/>
          <w:lang w:eastAsia="en-US"/>
        </w:rPr>
        <w:t xml:space="preserve"> 0.99</w:t>
      </w:r>
      <w:r>
        <w:rPr>
          <w:rFonts w:ascii="FangSong_GB2312" w:hAnsi="FangSong_GB2312" w:eastAsia="FangSong_GB2312" w:cs="FangSong_GB2312"/>
          <w:kern w:val="0"/>
          <w:sz w:val="32"/>
          <w:szCs w:val="32"/>
        </w:rPr>
        <w:t>万元。其中：</w:t>
      </w:r>
    </w:p>
    <w:p w14:paraId="661D8469">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1</w:t>
      </w:r>
      <w:r>
        <w:rPr>
          <w:rFonts w:ascii="FangSong_GB2312" w:hAnsi="FangSong_GB2312" w:eastAsia="FangSong_GB2312" w:cs="FangSong_GB2312"/>
          <w:b/>
          <w:bCs/>
          <w:kern w:val="0"/>
          <w:sz w:val="32"/>
          <w:szCs w:val="32"/>
        </w:rPr>
        <w:t>）公务用车购置支出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万元。本年度使用财政拨款购置公务用车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辆，开支内容：</w:t>
      </w:r>
      <w:r>
        <w:rPr>
          <w:rFonts w:hint="eastAsia" w:ascii="FangSong_GB2312" w:hAnsi="FangSong_GB2312" w:eastAsia="FangSong_GB2312" w:cs="FangSong_GB2312"/>
          <w:kern w:val="0"/>
          <w:sz w:val="32"/>
          <w:szCs w:val="32"/>
          <w:lang w:eastAsia="zh-CN"/>
        </w:rPr>
        <w:t>不存在此项内容</w:t>
      </w:r>
      <w:r>
        <w:rPr>
          <w:rFonts w:ascii="FangSong_GB2312" w:hAnsi="FangSong_GB2312" w:eastAsia="FangSong_GB2312" w:cs="FangSong_GB2312"/>
          <w:kern w:val="0"/>
          <w:sz w:val="32"/>
          <w:szCs w:val="32"/>
        </w:rPr>
        <w:t>。与上年决算相比，增加</w:t>
      </w:r>
      <w:r>
        <w:rPr>
          <w:rFonts w:eastAsia="Times New Roman"/>
          <w:kern w:val="0"/>
          <w:sz w:val="32"/>
          <w:szCs w:val="32"/>
          <w:u w:val="single"/>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不存在此项内容</w:t>
      </w:r>
      <w:r>
        <w:rPr>
          <w:rFonts w:ascii="FangSong_GB2312" w:hAnsi="FangSong_GB2312" w:eastAsia="FangSong_GB2312" w:cs="FangSong_GB2312"/>
          <w:kern w:val="0"/>
          <w:sz w:val="32"/>
          <w:szCs w:val="32"/>
        </w:rPr>
        <w:t>。</w:t>
      </w:r>
    </w:p>
    <w:p w14:paraId="443B5797">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w:t>
      </w:r>
      <w:r>
        <w:rPr>
          <w:rFonts w:eastAsia="Times New Roman"/>
          <w:b/>
          <w:bCs/>
          <w:kern w:val="0"/>
          <w:sz w:val="32"/>
          <w:szCs w:val="32"/>
          <w:lang w:eastAsia="en-US"/>
        </w:rPr>
        <w:t>2</w:t>
      </w:r>
      <w:r>
        <w:rPr>
          <w:rFonts w:ascii="FangSong_GB2312" w:hAnsi="FangSong_GB2312" w:eastAsia="FangSong_GB2312" w:cs="FangSong_GB2312"/>
          <w:b/>
          <w:bCs/>
          <w:kern w:val="0"/>
          <w:sz w:val="32"/>
          <w:szCs w:val="32"/>
        </w:rPr>
        <w:t>）公务用车运行维护费支出</w:t>
      </w:r>
      <w:r>
        <w:rPr>
          <w:rFonts w:eastAsia="Times New Roman"/>
          <w:kern w:val="0"/>
          <w:sz w:val="32"/>
          <w:szCs w:val="32"/>
          <w:u w:val="single"/>
          <w:lang w:eastAsia="en-US"/>
        </w:rPr>
        <w:t xml:space="preserve"> 0.99</w:t>
      </w:r>
      <w:r>
        <w:rPr>
          <w:rFonts w:ascii="FangSong_GB2312" w:hAnsi="FangSong_GB2312" w:eastAsia="FangSong_GB2312" w:cs="FangSong_GB2312"/>
          <w:kern w:val="0"/>
          <w:sz w:val="32"/>
          <w:szCs w:val="32"/>
        </w:rPr>
        <w:t>万元。公务用车运行维护费主要用于按规定保留的公务用车的燃料费、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维修费、过桥过路费、保险费、安全奖励费用等支出。截至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日，使用财政拨款开支的公务用车保有量为</w:t>
      </w:r>
      <w:r>
        <w:rPr>
          <w:rFonts w:eastAsia="Times New Roman"/>
          <w:kern w:val="0"/>
          <w:sz w:val="32"/>
          <w:szCs w:val="32"/>
          <w:u w:val="single"/>
          <w:lang w:eastAsia="en-US"/>
        </w:rPr>
        <w:t xml:space="preserve">1 </w:t>
      </w:r>
      <w:r>
        <w:rPr>
          <w:rFonts w:ascii="FangSong_GB2312" w:hAnsi="FangSong_GB2312" w:eastAsia="FangSong_GB2312" w:cs="FangSong_GB2312"/>
          <w:kern w:val="0"/>
          <w:sz w:val="32"/>
          <w:szCs w:val="32"/>
        </w:rPr>
        <w:t>辆。与上年决算相比，减少</w:t>
      </w:r>
      <w:r>
        <w:rPr>
          <w:rFonts w:eastAsia="Times New Roman"/>
          <w:kern w:val="0"/>
          <w:sz w:val="32"/>
          <w:szCs w:val="32"/>
          <w:u w:val="single"/>
          <w:lang w:eastAsia="en-US"/>
        </w:rPr>
        <w:t>0.01</w:t>
      </w:r>
      <w:r>
        <w:rPr>
          <w:rFonts w:ascii="FangSong_GB2312" w:hAnsi="FangSong_GB2312" w:eastAsia="FangSong_GB2312" w:cs="FangSong_GB2312"/>
          <w:kern w:val="0"/>
          <w:sz w:val="32"/>
          <w:szCs w:val="32"/>
        </w:rPr>
        <w:t>万元，下降</w:t>
      </w:r>
      <w:r>
        <w:rPr>
          <w:rFonts w:eastAsia="Times New Roman"/>
          <w:kern w:val="0"/>
          <w:sz w:val="32"/>
          <w:szCs w:val="32"/>
          <w:u w:val="single"/>
          <w:lang w:eastAsia="en-US"/>
        </w:rPr>
        <w:t>1.40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减少车辆运行维护费</w:t>
      </w:r>
      <w:r>
        <w:rPr>
          <w:rFonts w:ascii="FangSong_GB2312" w:hAnsi="FangSong_GB2312" w:eastAsia="FangSong_GB2312" w:cs="FangSong_GB2312"/>
          <w:kern w:val="0"/>
          <w:sz w:val="32"/>
          <w:szCs w:val="32"/>
        </w:rPr>
        <w:t>。</w:t>
      </w:r>
    </w:p>
    <w:p w14:paraId="2C8C8F3C">
      <w:pPr>
        <w:pStyle w:val="28"/>
        <w:widowControl/>
        <w:spacing w:before="240" w:after="240" w:line="560" w:lineRule="atLeast"/>
        <w:ind w:firstLine="640"/>
        <w:jc w:val="left"/>
        <w:rPr>
          <w:rFonts w:ascii="Times New Roman" w:hAnsi="Times New Roman" w:eastAsia="Times New Roman" w:cs="Times New Roman"/>
          <w:kern w:val="0"/>
          <w:sz w:val="24"/>
        </w:rPr>
      </w:pPr>
      <w:r>
        <w:rPr>
          <w:rFonts w:eastAsia="Times New Roman"/>
          <w:b/>
          <w:bCs/>
          <w:kern w:val="0"/>
          <w:sz w:val="32"/>
          <w:szCs w:val="32"/>
          <w:lang w:eastAsia="en-US"/>
        </w:rPr>
        <w:t>3</w:t>
      </w:r>
      <w:r>
        <w:rPr>
          <w:rFonts w:ascii="FangSong_GB2312" w:hAnsi="FangSong_GB2312" w:eastAsia="FangSong_GB2312" w:cs="FangSong_GB2312"/>
          <w:b/>
          <w:bCs/>
          <w:kern w:val="0"/>
          <w:sz w:val="32"/>
          <w:szCs w:val="32"/>
          <w:lang w:eastAsia="en-US"/>
        </w:rPr>
        <w:t>.</w:t>
      </w:r>
      <w:r>
        <w:rPr>
          <w:rFonts w:ascii="FangSong_GB2312" w:hAnsi="FangSong_GB2312" w:eastAsia="FangSong_GB2312" w:cs="FangSong_GB2312"/>
          <w:b/>
          <w:bCs/>
          <w:kern w:val="0"/>
          <w:sz w:val="32"/>
          <w:szCs w:val="32"/>
        </w:rPr>
        <w:t>公务接待费支出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万元。其中：国内公务接待支出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人次，开支内容：</w:t>
      </w:r>
      <w:r>
        <w:rPr>
          <w:rFonts w:hint="eastAsia" w:ascii="FangSong_GB2312" w:hAnsi="FangSong_GB2312" w:eastAsia="FangSong_GB2312" w:cs="FangSong_GB2312"/>
          <w:kern w:val="0"/>
          <w:sz w:val="32"/>
          <w:szCs w:val="32"/>
          <w:lang w:eastAsia="zh-CN"/>
        </w:rPr>
        <w:t>不存在此项内容</w:t>
      </w:r>
      <w:r>
        <w:rPr>
          <w:rFonts w:ascii="FangSong_GB2312" w:hAnsi="FangSong_GB2312" w:eastAsia="FangSong_GB2312" w:cs="FangSong_GB2312"/>
          <w:kern w:val="0"/>
          <w:sz w:val="32"/>
          <w:szCs w:val="32"/>
        </w:rPr>
        <w:t>；国（境）外公务接待支出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万元，接待</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批次，</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人次，开支内容：</w:t>
      </w:r>
      <w:r>
        <w:rPr>
          <w:rFonts w:hint="eastAsia" w:ascii="FangSong_GB2312" w:hAnsi="FangSong_GB2312" w:eastAsia="FangSong_GB2312" w:cs="FangSong_GB2312"/>
          <w:kern w:val="0"/>
          <w:sz w:val="32"/>
          <w:szCs w:val="32"/>
          <w:lang w:eastAsia="zh-CN"/>
        </w:rPr>
        <w:t>不存在此项内容</w:t>
      </w:r>
      <w:r>
        <w:rPr>
          <w:rFonts w:ascii="FangSong_GB2312" w:hAnsi="FangSong_GB2312" w:eastAsia="FangSong_GB2312" w:cs="FangSong_GB2312"/>
          <w:kern w:val="0"/>
          <w:sz w:val="32"/>
          <w:szCs w:val="32"/>
        </w:rPr>
        <w:t>。与上年决算相比，增加</w:t>
      </w:r>
      <w:r>
        <w:rPr>
          <w:rFonts w:eastAsia="Times New Roman"/>
          <w:kern w:val="0"/>
          <w:sz w:val="32"/>
          <w:szCs w:val="32"/>
          <w:u w:val="single"/>
          <w:lang w:eastAsia="en-US"/>
        </w:rPr>
        <w:t>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不存在此项内容</w:t>
      </w:r>
      <w:r>
        <w:rPr>
          <w:rFonts w:ascii="FangSong_GB2312" w:hAnsi="FangSong_GB2312" w:eastAsia="FangSong_GB2312" w:cs="FangSong_GB2312"/>
          <w:kern w:val="0"/>
          <w:sz w:val="32"/>
          <w:szCs w:val="32"/>
        </w:rPr>
        <w:t>。</w:t>
      </w:r>
    </w:p>
    <w:p w14:paraId="35ED7EE3">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九、政府性基金预算财政拨款支出决算情况说明</w:t>
      </w:r>
    </w:p>
    <w:p w14:paraId="5902249F">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赤峰市松山区审计局</w:t>
      </w:r>
      <w:r>
        <w:rPr>
          <w:rFonts w:eastAsia="Times New Roman"/>
          <w:kern w:val="0"/>
          <w:sz w:val="32"/>
          <w:szCs w:val="32"/>
          <w:lang w:eastAsia="en-US"/>
        </w:rPr>
        <w:t>2025</w:t>
      </w:r>
      <w:r>
        <w:rPr>
          <w:rFonts w:ascii="FangSong_GB2312" w:hAnsi="FangSong_GB2312" w:eastAsia="FangSong_GB2312" w:cs="FangSong_GB2312"/>
          <w:kern w:val="0"/>
          <w:sz w:val="32"/>
          <w:szCs w:val="32"/>
        </w:rPr>
        <w:t>年度政府性基金预算财政拨款支出决算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FangSong_GB2312" w:hAnsi="FangSong_GB2312" w:eastAsia="FangSong_GB2312" w:cs="FangSong_GB2312"/>
          <w:color w:val="auto"/>
          <w:kern w:val="0"/>
          <w:sz w:val="32"/>
          <w:szCs w:val="32"/>
        </w:rPr>
        <w:t>本年无政府性基金预算财政拨款收、支、余</w:t>
      </w:r>
      <w:r>
        <w:rPr>
          <w:rFonts w:ascii="FangSong_GB2312" w:hAnsi="FangSong_GB2312" w:eastAsia="FangSong_GB2312" w:cs="FangSong_GB2312"/>
          <w:kern w:val="0"/>
          <w:sz w:val="32"/>
          <w:szCs w:val="32"/>
        </w:rPr>
        <w:t>。</w:t>
      </w:r>
    </w:p>
    <w:p w14:paraId="35F15C86">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十、国有资本经营预算财政拨款支出决算情况说明</w:t>
      </w:r>
    </w:p>
    <w:p w14:paraId="47795040">
      <w:pPr>
        <w:pStyle w:val="28"/>
        <w:widowControl/>
        <w:spacing w:before="240" w:after="240" w:line="560" w:lineRule="atLeast"/>
        <w:ind w:firstLine="640"/>
        <w:jc w:val="left"/>
        <w:rPr>
          <w:rFonts w:ascii="Times New Roman" w:hAnsi="Times New Roman" w:eastAsia="Times New Roman" w:cs="Times New Roman"/>
          <w:color w:val="auto"/>
          <w:kern w:val="0"/>
          <w:sz w:val="24"/>
        </w:rPr>
      </w:pPr>
      <w:r>
        <w:rPr>
          <w:rFonts w:ascii="FangSong_GB2312" w:hAnsi="FangSong_GB2312" w:eastAsia="FangSong_GB2312" w:cs="FangSong_GB2312"/>
          <w:kern w:val="0"/>
          <w:sz w:val="32"/>
          <w:szCs w:val="32"/>
        </w:rPr>
        <w:t>赤峰市松山区审计局</w:t>
      </w:r>
      <w:r>
        <w:rPr>
          <w:rFonts w:eastAsia="Times New Roman"/>
          <w:kern w:val="0"/>
          <w:sz w:val="32"/>
          <w:szCs w:val="32"/>
          <w:lang w:eastAsia="en-US"/>
        </w:rPr>
        <w:t>2025</w:t>
      </w:r>
      <w:r>
        <w:rPr>
          <w:rFonts w:ascii="FangSong_GB2312" w:hAnsi="FangSong_GB2312" w:eastAsia="FangSong_GB2312" w:cs="FangSong_GB2312"/>
          <w:kern w:val="0"/>
          <w:sz w:val="32"/>
          <w:szCs w:val="32"/>
        </w:rPr>
        <w:t>年度国有资本经营预算财政拨款支出决算</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ascii="FangSong_GB2312" w:hAnsi="FangSong_GB2312" w:eastAsia="FangSong_GB2312" w:cs="FangSong_GB2312"/>
          <w:color w:val="auto"/>
          <w:kern w:val="0"/>
          <w:sz w:val="32"/>
          <w:szCs w:val="32"/>
        </w:rPr>
        <w:t>本年无国有资本经营预算财政拨款收、支、余。</w:t>
      </w:r>
    </w:p>
    <w:p w14:paraId="238893FE">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十一、机关运行经费（公用经费）支出决算情况说明</w:t>
      </w:r>
    </w:p>
    <w:p w14:paraId="1532765F">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 xml:space="preserve">赤峰市松山区审计局 </w:t>
      </w:r>
      <w:r>
        <w:rPr>
          <w:rFonts w:eastAsia="Times New Roman"/>
          <w:kern w:val="0"/>
          <w:sz w:val="32"/>
          <w:szCs w:val="32"/>
          <w:lang w:eastAsia="en-US"/>
        </w:rPr>
        <w:t>2025</w:t>
      </w:r>
      <w:r>
        <w:rPr>
          <w:rFonts w:ascii="FangSong_GB2312" w:hAnsi="FangSong_GB2312" w:eastAsia="FangSong_GB2312" w:cs="FangSong_GB2312"/>
          <w:kern w:val="0"/>
          <w:sz w:val="32"/>
          <w:szCs w:val="32"/>
        </w:rPr>
        <w:t>年度公用经费支出决算</w:t>
      </w:r>
      <w:r>
        <w:rPr>
          <w:rFonts w:eastAsia="Times New Roman"/>
          <w:kern w:val="0"/>
          <w:sz w:val="32"/>
          <w:szCs w:val="32"/>
          <w:u w:val="single"/>
          <w:lang w:eastAsia="en-US"/>
        </w:rPr>
        <w:t xml:space="preserve"> 32.03</w:t>
      </w:r>
      <w:r>
        <w:rPr>
          <w:rFonts w:ascii="FangSong_GB2312" w:hAnsi="FangSong_GB2312" w:eastAsia="FangSong_GB2312" w:cs="FangSong_GB2312"/>
          <w:kern w:val="0"/>
          <w:sz w:val="32"/>
          <w:szCs w:val="32"/>
        </w:rPr>
        <w:t>万元，与上年决算相比，增加</w:t>
      </w:r>
      <w:r>
        <w:rPr>
          <w:rFonts w:eastAsia="Times New Roman"/>
          <w:kern w:val="0"/>
          <w:sz w:val="32"/>
          <w:szCs w:val="32"/>
          <w:u w:val="single"/>
          <w:lang w:eastAsia="en-US"/>
        </w:rPr>
        <w:t xml:space="preserve"> 2.37</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7.99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审计业务增加，导致费用增加</w:t>
      </w:r>
      <w:r>
        <w:rPr>
          <w:rFonts w:ascii="FangSong_GB2312" w:hAnsi="FangSong_GB2312" w:eastAsia="FangSong_GB2312" w:cs="FangSong_GB2312"/>
          <w:kern w:val="0"/>
          <w:sz w:val="32"/>
          <w:szCs w:val="32"/>
        </w:rPr>
        <w:t>。其中，机关运行经费支出决算</w:t>
      </w:r>
      <w:r>
        <w:rPr>
          <w:rFonts w:eastAsia="Times New Roman"/>
          <w:kern w:val="0"/>
          <w:sz w:val="32"/>
          <w:szCs w:val="32"/>
          <w:u w:val="single"/>
          <w:lang w:eastAsia="en-US"/>
        </w:rPr>
        <w:t xml:space="preserve"> 32.03</w:t>
      </w:r>
      <w:r>
        <w:rPr>
          <w:rFonts w:ascii="FangSong_GB2312" w:hAnsi="FangSong_GB2312" w:eastAsia="FangSong_GB2312" w:cs="FangSong_GB2312"/>
          <w:kern w:val="0"/>
          <w:sz w:val="32"/>
          <w:szCs w:val="32"/>
        </w:rPr>
        <w:t>万元。比上年决算相比，增加</w:t>
      </w:r>
      <w:r>
        <w:rPr>
          <w:rFonts w:eastAsia="Times New Roman"/>
          <w:kern w:val="0"/>
          <w:sz w:val="32"/>
          <w:szCs w:val="32"/>
          <w:u w:val="single"/>
          <w:lang w:eastAsia="en-US"/>
        </w:rPr>
        <w:t xml:space="preserve"> 2.37</w:t>
      </w:r>
      <w:r>
        <w:rPr>
          <w:rFonts w:ascii="FangSong_GB2312" w:hAnsi="FangSong_GB2312" w:eastAsia="FangSong_GB2312" w:cs="FangSong_GB2312"/>
          <w:kern w:val="0"/>
          <w:sz w:val="32"/>
          <w:szCs w:val="32"/>
        </w:rPr>
        <w:t>万元，增长</w:t>
      </w:r>
      <w:r>
        <w:rPr>
          <w:rFonts w:eastAsia="Times New Roman"/>
          <w:kern w:val="0"/>
          <w:sz w:val="32"/>
          <w:szCs w:val="32"/>
          <w:u w:val="single"/>
          <w:lang w:eastAsia="en-US"/>
        </w:rPr>
        <w:t xml:space="preserve"> 7.99</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，变动原因：</w:t>
      </w:r>
      <w:r>
        <w:rPr>
          <w:rFonts w:hint="eastAsia" w:ascii="FangSong_GB2312" w:hAnsi="FangSong_GB2312" w:eastAsia="FangSong_GB2312" w:cs="FangSong_GB2312"/>
          <w:kern w:val="0"/>
          <w:sz w:val="32"/>
          <w:szCs w:val="32"/>
          <w:lang w:eastAsia="zh-CN"/>
        </w:rPr>
        <w:t>审计业务增加，导致费用增加</w:t>
      </w:r>
      <w:r>
        <w:rPr>
          <w:rFonts w:ascii="FangSong_GB2312" w:hAnsi="FangSong_GB2312" w:eastAsia="FangSong_GB2312" w:cs="FangSong_GB2312"/>
          <w:kern w:val="0"/>
          <w:sz w:val="32"/>
          <w:szCs w:val="32"/>
        </w:rPr>
        <w:t>。</w:t>
      </w:r>
    </w:p>
    <w:p w14:paraId="5BAB6D1F">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十二、政府采购支出决算情况说明</w:t>
      </w:r>
    </w:p>
    <w:p w14:paraId="768CF18A">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赤峰市松山区审计局</w:t>
      </w:r>
      <w:r>
        <w:rPr>
          <w:rFonts w:eastAsia="Times New Roman"/>
          <w:kern w:val="0"/>
          <w:sz w:val="32"/>
          <w:szCs w:val="32"/>
          <w:lang w:eastAsia="en-US"/>
        </w:rPr>
        <w:t>2025</w:t>
      </w:r>
      <w:r>
        <w:rPr>
          <w:rFonts w:ascii="FangSong_GB2312" w:hAnsi="FangSong_GB2312" w:eastAsia="FangSong_GB2312" w:cs="FangSong_GB2312"/>
          <w:kern w:val="0"/>
          <w:sz w:val="32"/>
          <w:szCs w:val="32"/>
        </w:rPr>
        <w:t>年度政府采购支出总额</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万元，其中：政府采购货物支出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万元、政府采购工程支出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万元、政府采购服务支出</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万元。政府采购授予中小企业合同金额</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万元，占政府采购支出总额的</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，其中：授予小微企业合同金额</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万元，占政府采购支出总额的</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；货物采购授予中小企业合同金额占货物支出金额的</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，工程采购授予中小企业合同金额占工程支出金额的</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，服务采购授予中小企业合同金额占服务支出金额的</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w:t>
      </w:r>
    </w:p>
    <w:p w14:paraId="17EE9CAA">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十三、国有资产占用情况说明</w:t>
      </w:r>
    </w:p>
    <w:p w14:paraId="18A27605">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赤峰市松山区审计局截至</w:t>
      </w:r>
      <w:r>
        <w:rPr>
          <w:rFonts w:eastAsia="Times New Roman"/>
          <w:kern w:val="0"/>
          <w:sz w:val="32"/>
          <w:szCs w:val="32"/>
          <w:lang w:eastAsia="en-US"/>
        </w:rPr>
        <w:t>2025</w:t>
      </w:r>
      <w:r>
        <w:rPr>
          <w:rFonts w:ascii="FangSong_GB2312" w:hAnsi="FangSong_GB2312" w:eastAsia="FangSong_GB2312" w:cs="FangSong_GB2312"/>
          <w:kern w:val="0"/>
          <w:sz w:val="32"/>
          <w:szCs w:val="32"/>
        </w:rPr>
        <w:t>年</w:t>
      </w:r>
      <w:r>
        <w:rPr>
          <w:rFonts w:eastAsia="Times New Roman"/>
          <w:kern w:val="0"/>
          <w:sz w:val="32"/>
          <w:szCs w:val="32"/>
          <w:lang w:eastAsia="en-US"/>
        </w:rPr>
        <w:t>12</w:t>
      </w:r>
      <w:r>
        <w:rPr>
          <w:rFonts w:ascii="FangSong_GB2312" w:hAnsi="FangSong_GB2312" w:eastAsia="FangSong_GB2312" w:cs="FangSong_GB2312"/>
          <w:kern w:val="0"/>
          <w:sz w:val="32"/>
          <w:szCs w:val="32"/>
        </w:rPr>
        <w:t>月</w:t>
      </w:r>
      <w:r>
        <w:rPr>
          <w:rFonts w:eastAsia="Times New Roman"/>
          <w:kern w:val="0"/>
          <w:sz w:val="32"/>
          <w:szCs w:val="32"/>
          <w:lang w:eastAsia="en-US"/>
        </w:rPr>
        <w:t>31</w:t>
      </w:r>
      <w:r>
        <w:rPr>
          <w:rFonts w:ascii="FangSong_GB2312" w:hAnsi="FangSong_GB2312" w:eastAsia="FangSong_GB2312" w:cs="FangSong_GB2312"/>
          <w:kern w:val="0"/>
          <w:sz w:val="32"/>
          <w:szCs w:val="32"/>
        </w:rPr>
        <w:t>日，本部门共有车辆</w:t>
      </w:r>
      <w:r>
        <w:rPr>
          <w:rFonts w:eastAsia="Times New Roman"/>
          <w:kern w:val="0"/>
          <w:sz w:val="32"/>
          <w:szCs w:val="32"/>
          <w:u w:val="single"/>
          <w:lang w:eastAsia="en-US"/>
        </w:rPr>
        <w:t xml:space="preserve">1 </w:t>
      </w:r>
      <w:r>
        <w:rPr>
          <w:rFonts w:ascii="FangSong_GB2312" w:hAnsi="FangSong_GB2312" w:eastAsia="FangSong_GB2312" w:cs="FangSong_GB2312"/>
          <w:kern w:val="0"/>
          <w:sz w:val="32"/>
          <w:szCs w:val="32"/>
        </w:rPr>
        <w:t>辆，其中：副部（省）级及以上领导用车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辆、主要负责人用车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辆、机要通信用车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辆、应急保障用车</w:t>
      </w:r>
      <w:r>
        <w:rPr>
          <w:rFonts w:eastAsia="Times New Roman"/>
          <w:kern w:val="0"/>
          <w:sz w:val="32"/>
          <w:szCs w:val="32"/>
          <w:u w:val="single"/>
          <w:lang w:eastAsia="en-US"/>
        </w:rPr>
        <w:t xml:space="preserve">1 </w:t>
      </w:r>
      <w:r>
        <w:rPr>
          <w:rFonts w:ascii="FangSong_GB2312" w:hAnsi="FangSong_GB2312" w:eastAsia="FangSong_GB2312" w:cs="FangSong_GB2312"/>
          <w:kern w:val="0"/>
          <w:sz w:val="32"/>
          <w:szCs w:val="32"/>
        </w:rPr>
        <w:t>辆、执法执勤用车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辆、特种专业技术用车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辆、离退休干部服务用车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辆、其他用车</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辆；单价</w:t>
      </w:r>
      <w:r>
        <w:rPr>
          <w:rFonts w:eastAsia="Times New Roman"/>
          <w:kern w:val="0"/>
          <w:sz w:val="32"/>
          <w:szCs w:val="32"/>
          <w:lang w:eastAsia="en-US"/>
        </w:rPr>
        <w:t>100</w:t>
      </w:r>
      <w:r>
        <w:rPr>
          <w:rFonts w:ascii="FangSong_GB2312" w:hAnsi="FangSong_GB2312" w:eastAsia="FangSong_GB2312" w:cs="FangSong_GB2312"/>
          <w:kern w:val="0"/>
          <w:sz w:val="32"/>
          <w:szCs w:val="32"/>
        </w:rPr>
        <w:t>万元（含）以上设备（不含车辆）</w:t>
      </w:r>
      <w:r>
        <w:rPr>
          <w:rFonts w:eastAsia="Times New Roman"/>
          <w:kern w:val="0"/>
          <w:sz w:val="32"/>
          <w:szCs w:val="32"/>
          <w:u w:val="single"/>
          <w:lang w:eastAsia="en-US"/>
        </w:rPr>
        <w:t xml:space="preserve">0 </w:t>
      </w:r>
      <w:r>
        <w:rPr>
          <w:rFonts w:ascii="FangSong_GB2312" w:hAnsi="FangSong_GB2312" w:eastAsia="FangSong_GB2312" w:cs="FangSong_GB2312"/>
          <w:kern w:val="0"/>
          <w:sz w:val="32"/>
          <w:szCs w:val="32"/>
        </w:rPr>
        <w:t>台（套）。</w:t>
      </w:r>
    </w:p>
    <w:p w14:paraId="16A464A4">
      <w:pPr>
        <w:pStyle w:val="28"/>
        <w:widowControl/>
        <w:spacing w:before="240" w:after="240" w:line="600" w:lineRule="atLeast"/>
        <w:ind w:firstLine="643"/>
        <w:jc w:val="left"/>
        <w:rPr>
          <w:rFonts w:ascii="Times New Roman" w:hAnsi="Times New Roman" w:eastAsia="Times New Roman" w:cs="Times New Roman"/>
          <w:kern w:val="0"/>
          <w:sz w:val="24"/>
        </w:rPr>
      </w:pPr>
      <w:r>
        <w:rPr>
          <w:rFonts w:ascii="黑体" w:hAnsi="黑体" w:eastAsia="黑体" w:cs="黑体"/>
          <w:b/>
          <w:bCs/>
          <w:kern w:val="0"/>
          <w:sz w:val="32"/>
          <w:szCs w:val="32"/>
        </w:rPr>
        <w:t>十四、预算绩效情况说明</w:t>
      </w:r>
    </w:p>
    <w:p w14:paraId="219B861E">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（一）预算绩效管理工作开展情况。</w:t>
      </w:r>
    </w:p>
    <w:p w14:paraId="209B749C">
      <w:pPr>
        <w:pStyle w:val="28"/>
        <w:widowControl/>
        <w:spacing w:before="240" w:after="240" w:line="560" w:lineRule="atLeast"/>
        <w:ind w:firstLine="640"/>
        <w:jc w:val="left"/>
        <w:rPr>
          <w:rFonts w:hint="eastAsia" w:ascii="FangSong_GB2312" w:hAnsi="FangSong_GB2312" w:eastAsia="FangSong_GB2312" w:cs="FangSong_GB2312"/>
          <w:kern w:val="0"/>
          <w:sz w:val="32"/>
          <w:szCs w:val="32"/>
          <w:lang w:eastAsia="zh-CN"/>
        </w:rPr>
      </w:pPr>
      <w:r>
        <w:rPr>
          <w:rFonts w:ascii="FangSong_GB2312" w:hAnsi="FangSong_GB2312" w:eastAsia="FangSong_GB2312" w:cs="FangSong_GB2312"/>
          <w:kern w:val="0"/>
          <w:sz w:val="32"/>
          <w:szCs w:val="32"/>
        </w:rPr>
        <w:t>赤峰市松山区审计局根据预算绩效管理要求组织对</w:t>
      </w:r>
      <w:r>
        <w:rPr>
          <w:rFonts w:eastAsia="Times New Roman"/>
          <w:kern w:val="0"/>
          <w:sz w:val="32"/>
          <w:szCs w:val="32"/>
          <w:lang w:eastAsia="en-US"/>
        </w:rPr>
        <w:t>2025</w:t>
      </w:r>
      <w:r>
        <w:rPr>
          <w:rFonts w:ascii="FangSong_GB2312" w:hAnsi="FangSong_GB2312" w:eastAsia="FangSong_GB2312" w:cs="FangSong_GB2312"/>
          <w:kern w:val="0"/>
          <w:sz w:val="32"/>
          <w:szCs w:val="32"/>
        </w:rPr>
        <w:t>年一般公共预算项目支出全面开展绩效自评，共涉及项目</w:t>
      </w:r>
      <w:r>
        <w:rPr>
          <w:rFonts w:hint="eastAsia"/>
          <w:kern w:val="0"/>
          <w:sz w:val="32"/>
          <w:szCs w:val="32"/>
          <w:u w:val="single"/>
          <w:lang w:val="en-US" w:eastAsia="zh-CN"/>
        </w:rPr>
        <w:t>4</w:t>
      </w:r>
      <w:r>
        <w:rPr>
          <w:rFonts w:ascii="FangSong_GB2312" w:hAnsi="FangSong_GB2312" w:eastAsia="FangSong_GB2312" w:cs="FangSong_GB2312"/>
          <w:kern w:val="0"/>
          <w:sz w:val="32"/>
          <w:szCs w:val="32"/>
        </w:rPr>
        <w:t>个，资金</w:t>
      </w:r>
      <w:r>
        <w:rPr>
          <w:rFonts w:eastAsia="Times New Roman"/>
          <w:kern w:val="0"/>
          <w:sz w:val="32"/>
          <w:szCs w:val="32"/>
          <w:u w:val="single"/>
          <w:lang w:eastAsia="en-US"/>
        </w:rPr>
        <w:t xml:space="preserve"> 77.82</w:t>
      </w:r>
      <w:r>
        <w:rPr>
          <w:rFonts w:ascii="FangSong_GB2312" w:hAnsi="FangSong_GB2312" w:eastAsia="FangSong_GB2312" w:cs="FangSong_GB2312"/>
          <w:kern w:val="0"/>
          <w:sz w:val="32"/>
          <w:szCs w:val="32"/>
        </w:rPr>
        <w:t>万元，占一般公共预算项目支出总额的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；政府性基金预算项目</w:t>
      </w:r>
      <w:r>
        <w:rPr>
          <w:rFonts w:hint="eastAsia"/>
          <w:kern w:val="0"/>
          <w:sz w:val="32"/>
          <w:szCs w:val="32"/>
          <w:u w:val="single"/>
          <w:lang w:val="en-US" w:eastAsia="zh-CN"/>
        </w:rPr>
        <w:t>0</w:t>
      </w:r>
      <w:r>
        <w:rPr>
          <w:rFonts w:ascii="FangSong_GB2312" w:hAnsi="FangSong_GB2312" w:eastAsia="FangSong_GB2312" w:cs="FangSong_GB2312"/>
          <w:kern w:val="0"/>
          <w:sz w:val="32"/>
          <w:szCs w:val="32"/>
        </w:rPr>
        <w:t>个，共涉及资金</w:t>
      </w:r>
      <w:r>
        <w:rPr>
          <w:rFonts w:eastAsia="Times New Roman"/>
          <w:kern w:val="0"/>
          <w:sz w:val="32"/>
          <w:szCs w:val="32"/>
          <w:u w:val="single"/>
          <w:lang w:eastAsia="en-US"/>
        </w:rPr>
        <w:t xml:space="preserve"> 0</w:t>
      </w:r>
      <w:r>
        <w:rPr>
          <w:rFonts w:ascii="FangSong_GB2312" w:hAnsi="FangSong_GB2312" w:eastAsia="FangSong_GB2312" w:cs="FangSong_GB2312"/>
          <w:kern w:val="0"/>
          <w:sz w:val="32"/>
          <w:szCs w:val="32"/>
        </w:rPr>
        <w:t>万元，占政府性基金预算项目支出总额的</w:t>
      </w:r>
      <w:r>
        <w:rPr>
          <w:rFonts w:eastAsia="Times New Roman"/>
          <w:kern w:val="0"/>
          <w:sz w:val="32"/>
          <w:szCs w:val="32"/>
          <w:lang w:eastAsia="en-US"/>
        </w:rPr>
        <w:t>100</w:t>
      </w:r>
      <w:r>
        <w:rPr>
          <w:rFonts w:ascii="FangSong_GB2312" w:hAnsi="FangSong_GB2312" w:eastAsia="FangSong_GB2312" w:cs="FangSong_GB2312"/>
          <w:kern w:val="0"/>
          <w:sz w:val="32"/>
          <w:szCs w:val="32"/>
          <w:lang w:eastAsia="en-US"/>
        </w:rPr>
        <w:t>%</w:t>
      </w:r>
      <w:r>
        <w:rPr>
          <w:rFonts w:hint="eastAsia" w:ascii="FangSong_GB2312" w:hAnsi="FangSong_GB2312" w:eastAsia="FangSong_GB2312" w:cs="FangSong_GB2312"/>
          <w:kern w:val="0"/>
          <w:sz w:val="32"/>
          <w:szCs w:val="32"/>
          <w:lang w:eastAsia="zh-CN"/>
        </w:rPr>
        <w:t>。</w:t>
      </w:r>
    </w:p>
    <w:p w14:paraId="36BA0C8D">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组织对“</w:t>
      </w:r>
      <w:r>
        <w:rPr>
          <w:rFonts w:hint="eastAsia" w:ascii="FangSong_GB2312" w:hAnsi="FangSong_GB2312" w:eastAsia="FangSong_GB2312" w:cs="FangSong_GB2312"/>
          <w:kern w:val="0"/>
          <w:sz w:val="32"/>
          <w:szCs w:val="32"/>
          <w:lang w:eastAsia="zh-CN"/>
        </w:rPr>
        <w:t>审计业务补助经费项目</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eastAsia="zh-CN"/>
        </w:rPr>
        <w:t>委托服务费</w:t>
      </w:r>
      <w:r>
        <w:rPr>
          <w:rFonts w:ascii="FangSong_GB2312" w:hAnsi="FangSong_GB2312" w:eastAsia="FangSong_GB2312" w:cs="FangSong_GB2312"/>
          <w:kern w:val="0"/>
          <w:sz w:val="32"/>
          <w:szCs w:val="32"/>
        </w:rPr>
        <w:t>项目”、“</w:t>
      </w:r>
      <w:r>
        <w:rPr>
          <w:rFonts w:hint="eastAsia" w:ascii="FangSong_GB2312" w:hAnsi="FangSong_GB2312" w:eastAsia="FangSong_GB2312" w:cs="FangSong_GB2312"/>
          <w:kern w:val="0"/>
          <w:sz w:val="32"/>
          <w:szCs w:val="32"/>
          <w:lang w:eastAsia="zh-CN"/>
        </w:rPr>
        <w:t>审计业务经费</w:t>
      </w:r>
      <w:r>
        <w:rPr>
          <w:rFonts w:ascii="FangSong_GB2312" w:hAnsi="FangSong_GB2312" w:eastAsia="FangSong_GB2312" w:cs="FangSong_GB2312"/>
          <w:kern w:val="0"/>
          <w:sz w:val="32"/>
          <w:szCs w:val="32"/>
        </w:rPr>
        <w:t>项目”等</w:t>
      </w:r>
      <w:r>
        <w:rPr>
          <w:rFonts w:hint="eastAsia" w:ascii="FangSong_GB2312" w:hAnsi="FangSong_GB2312" w:eastAsia="FangSong_GB2312" w:cs="FangSong_GB2312"/>
          <w:kern w:val="0"/>
          <w:sz w:val="32"/>
          <w:szCs w:val="32"/>
          <w:lang w:val="en-US" w:eastAsia="zh-CN"/>
        </w:rPr>
        <w:t>4</w:t>
      </w:r>
      <w:r>
        <w:rPr>
          <w:rFonts w:ascii="FangSong_GB2312" w:hAnsi="FangSong_GB2312" w:eastAsia="FangSong_GB2312" w:cs="FangSong_GB2312"/>
          <w:kern w:val="0"/>
          <w:sz w:val="32"/>
          <w:szCs w:val="32"/>
        </w:rPr>
        <w:t>个项目开展了部门评价，涉及一般公共预算支出</w:t>
      </w:r>
      <w:r>
        <w:rPr>
          <w:rFonts w:hint="eastAsia"/>
          <w:kern w:val="0"/>
          <w:sz w:val="32"/>
          <w:szCs w:val="32"/>
          <w:u w:val="single"/>
          <w:lang w:val="en-US" w:eastAsia="zh-CN"/>
        </w:rPr>
        <w:t>77.82</w:t>
      </w:r>
      <w:r>
        <w:rPr>
          <w:rFonts w:ascii="FangSong_GB2312" w:hAnsi="FangSong_GB2312" w:eastAsia="FangSong_GB2312" w:cs="FangSong_GB2312"/>
          <w:kern w:val="0"/>
          <w:sz w:val="32"/>
          <w:szCs w:val="32"/>
        </w:rPr>
        <w:t>万元，政府性基金支出</w:t>
      </w:r>
      <w:r>
        <w:rPr>
          <w:rFonts w:hint="eastAsia"/>
          <w:kern w:val="0"/>
          <w:sz w:val="32"/>
          <w:szCs w:val="32"/>
          <w:u w:val="single"/>
          <w:lang w:val="en-US" w:eastAsia="zh-CN"/>
        </w:rPr>
        <w:t>0</w:t>
      </w:r>
      <w:r>
        <w:rPr>
          <w:rFonts w:ascii="FangSong_GB2312" w:hAnsi="FangSong_GB2312" w:eastAsia="FangSong_GB2312" w:cs="FangSong_GB2312"/>
          <w:kern w:val="0"/>
          <w:sz w:val="32"/>
          <w:szCs w:val="32"/>
        </w:rPr>
        <w:t>万元。其中，对“</w:t>
      </w:r>
      <w:r>
        <w:rPr>
          <w:rFonts w:hint="eastAsia" w:ascii="FangSong_GB2312" w:hAnsi="FangSong_GB2312" w:eastAsia="FangSong_GB2312" w:cs="FangSong_GB2312"/>
          <w:kern w:val="0"/>
          <w:sz w:val="32"/>
          <w:szCs w:val="32"/>
          <w:lang w:eastAsia="zh-CN"/>
        </w:rPr>
        <w:t>审计业务经费项目</w:t>
      </w:r>
      <w:r>
        <w:rPr>
          <w:rFonts w:ascii="FangSong_GB2312" w:hAnsi="FangSong_GB2312" w:eastAsia="FangSong_GB2312" w:cs="FangSong_GB2312"/>
          <w:kern w:val="0"/>
          <w:sz w:val="32"/>
          <w:szCs w:val="32"/>
        </w:rPr>
        <w:t>”、“</w:t>
      </w:r>
      <w:r>
        <w:rPr>
          <w:rFonts w:hint="eastAsia" w:ascii="FangSong_GB2312" w:hAnsi="FangSong_GB2312" w:eastAsia="FangSong_GB2312" w:cs="FangSong_GB2312"/>
          <w:kern w:val="0"/>
          <w:sz w:val="32"/>
          <w:szCs w:val="32"/>
          <w:lang w:eastAsia="zh-CN"/>
        </w:rPr>
        <w:t>审计办公经费</w:t>
      </w:r>
      <w:r>
        <w:rPr>
          <w:rFonts w:ascii="FangSong_GB2312" w:hAnsi="FangSong_GB2312" w:eastAsia="FangSong_GB2312" w:cs="FangSong_GB2312"/>
          <w:kern w:val="0"/>
          <w:sz w:val="32"/>
          <w:szCs w:val="32"/>
        </w:rPr>
        <w:t>项目”、“</w:t>
      </w:r>
      <w:r>
        <w:rPr>
          <w:rFonts w:hint="eastAsia" w:ascii="FangSong_GB2312" w:hAnsi="FangSong_GB2312" w:eastAsia="FangSong_GB2312" w:cs="FangSong_GB2312"/>
          <w:kern w:val="0"/>
          <w:sz w:val="32"/>
          <w:szCs w:val="32"/>
          <w:lang w:eastAsia="zh-CN"/>
        </w:rPr>
        <w:t>外聘审计人员费用</w:t>
      </w:r>
      <w:r>
        <w:rPr>
          <w:rFonts w:ascii="FangSong_GB2312" w:hAnsi="FangSong_GB2312" w:eastAsia="FangSong_GB2312" w:cs="FangSong_GB2312"/>
          <w:kern w:val="0"/>
          <w:sz w:val="32"/>
          <w:szCs w:val="32"/>
        </w:rPr>
        <w:t>项目”等项目分别委托相关第三方机构开展绩效评价。从评价情况看，以上项目</w:t>
      </w:r>
      <w:r>
        <w:rPr>
          <w:rFonts w:hint="eastAsia" w:ascii="仿宋" w:hAnsi="仿宋" w:eastAsia="仿宋" w:cs="仿宋"/>
          <w:kern w:val="2"/>
          <w:sz w:val="32"/>
          <w:szCs w:val="32"/>
        </w:rPr>
        <w:t>项目预期目标</w:t>
      </w:r>
      <w:r>
        <w:rPr>
          <w:rFonts w:hint="eastAsia" w:ascii="仿宋" w:hAnsi="仿宋" w:eastAsia="仿宋" w:cs="仿宋"/>
          <w:kern w:val="2"/>
          <w:sz w:val="32"/>
          <w:szCs w:val="32"/>
          <w:lang w:eastAsia="zh-CN"/>
        </w:rPr>
        <w:t>均</w:t>
      </w:r>
      <w:r>
        <w:rPr>
          <w:rFonts w:hint="eastAsia" w:ascii="仿宋" w:hAnsi="仿宋" w:eastAsia="仿宋" w:cs="仿宋"/>
          <w:kern w:val="2"/>
          <w:sz w:val="32"/>
          <w:szCs w:val="32"/>
        </w:rPr>
        <w:t>已完成</w:t>
      </w:r>
      <w:r>
        <w:rPr>
          <w:rFonts w:hint="eastAsia" w:ascii="仿宋" w:hAnsi="仿宋" w:eastAsia="仿宋" w:cs="仿宋"/>
          <w:kern w:val="2"/>
          <w:sz w:val="32"/>
          <w:szCs w:val="32"/>
          <w:lang w:eastAsia="zh-CN"/>
        </w:rPr>
        <w:t>，</w:t>
      </w:r>
      <w:r>
        <w:rPr>
          <w:rFonts w:hint="eastAsia" w:ascii="仿宋" w:hAnsi="仿宋" w:eastAsia="仿宋" w:cs="仿宋"/>
          <w:kern w:val="2"/>
          <w:sz w:val="32"/>
          <w:szCs w:val="32"/>
        </w:rPr>
        <w:t>数量指标、质量指标、时效指标与成本指标都按照年初既定计划完成</w:t>
      </w:r>
      <w:r>
        <w:rPr>
          <w:rFonts w:hint="eastAsia" w:ascii="仿宋" w:hAnsi="仿宋" w:eastAsia="仿宋" w:cs="仿宋"/>
          <w:kern w:val="2"/>
          <w:sz w:val="32"/>
          <w:szCs w:val="32"/>
          <w:lang w:eastAsia="zh-CN"/>
        </w:rPr>
        <w:t>，</w:t>
      </w:r>
      <w:r>
        <w:rPr>
          <w:rFonts w:hint="eastAsia" w:ascii="仿宋" w:hAnsi="仿宋" w:eastAsia="仿宋" w:cs="仿宋"/>
          <w:kern w:val="2"/>
          <w:sz w:val="32"/>
          <w:szCs w:val="32"/>
        </w:rPr>
        <w:t>不存在超范围超标准支出、挤占挪用等违法违规问题</w:t>
      </w:r>
      <w:r>
        <w:rPr>
          <w:rFonts w:hint="eastAsia" w:ascii="仿宋" w:hAnsi="仿宋" w:eastAsia="仿宋" w:cs="仿宋"/>
          <w:kern w:val="2"/>
          <w:sz w:val="32"/>
          <w:szCs w:val="32"/>
          <w:lang w:eastAsia="zh-CN"/>
        </w:rPr>
        <w:t>。</w:t>
      </w:r>
    </w:p>
    <w:p w14:paraId="233C4261">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（二）部门决算中项目绩效自评结果。</w:t>
      </w:r>
    </w:p>
    <w:p w14:paraId="2DDEC4F2">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赤峰市松山区审计局</w:t>
      </w:r>
      <w:r>
        <w:rPr>
          <w:rFonts w:eastAsia="Times New Roman"/>
          <w:kern w:val="0"/>
          <w:sz w:val="32"/>
          <w:szCs w:val="32"/>
          <w:lang w:eastAsia="en-US"/>
        </w:rPr>
        <w:t>2025</w:t>
      </w:r>
      <w:r>
        <w:rPr>
          <w:rFonts w:ascii="FangSong_GB2312" w:hAnsi="FangSong_GB2312" w:eastAsia="FangSong_GB2312" w:cs="FangSong_GB2312"/>
          <w:kern w:val="0"/>
          <w:sz w:val="32"/>
          <w:szCs w:val="32"/>
        </w:rPr>
        <w:t>年度在决算中反映</w:t>
      </w:r>
      <w:r>
        <w:rPr>
          <w:rFonts w:hint="eastAsia"/>
          <w:kern w:val="0"/>
          <w:sz w:val="32"/>
          <w:szCs w:val="32"/>
          <w:u w:val="single"/>
          <w:lang w:val="en-US" w:eastAsia="zh-CN"/>
        </w:rPr>
        <w:t>4</w:t>
      </w:r>
      <w:r>
        <w:rPr>
          <w:rFonts w:ascii="FangSong_GB2312" w:hAnsi="FangSong_GB2312" w:eastAsia="FangSong_GB2312" w:cs="FangSong_GB2312"/>
          <w:kern w:val="0"/>
          <w:sz w:val="32"/>
          <w:szCs w:val="32"/>
        </w:rPr>
        <w:t>个一般公共预算项目，以及</w:t>
      </w:r>
      <w:r>
        <w:rPr>
          <w:rFonts w:hint="eastAsia"/>
          <w:kern w:val="0"/>
          <w:sz w:val="32"/>
          <w:szCs w:val="32"/>
          <w:u w:val="single"/>
          <w:lang w:val="en-US" w:eastAsia="zh-CN"/>
        </w:rPr>
        <w:t>0</w:t>
      </w:r>
      <w:r>
        <w:rPr>
          <w:rFonts w:ascii="FangSong_GB2312" w:hAnsi="FangSong_GB2312" w:eastAsia="FangSong_GB2312" w:cs="FangSong_GB2312"/>
          <w:kern w:val="0"/>
          <w:sz w:val="32"/>
          <w:szCs w:val="32"/>
        </w:rPr>
        <w:t>个政府性基金项目共</w:t>
      </w:r>
      <w:r>
        <w:rPr>
          <w:rFonts w:hint="eastAsia"/>
          <w:kern w:val="0"/>
          <w:sz w:val="32"/>
          <w:szCs w:val="32"/>
          <w:u w:val="single"/>
          <w:lang w:val="en-US" w:eastAsia="zh-CN"/>
        </w:rPr>
        <w:t>4</w:t>
      </w:r>
      <w:r>
        <w:rPr>
          <w:rFonts w:ascii="FangSong_GB2312" w:hAnsi="FangSong_GB2312" w:eastAsia="FangSong_GB2312" w:cs="FangSong_GB2312"/>
          <w:kern w:val="0"/>
          <w:sz w:val="32"/>
          <w:szCs w:val="32"/>
        </w:rPr>
        <w:t>个项目的绩效自评结果。</w:t>
      </w:r>
    </w:p>
    <w:p w14:paraId="5C6252D6">
      <w:pPr>
        <w:pStyle w:val="28"/>
        <w:widowControl/>
        <w:spacing w:before="240" w:after="240" w:line="560" w:lineRule="atLeast"/>
        <w:ind w:firstLine="640"/>
        <w:jc w:val="left"/>
        <w:rPr>
          <w:rFonts w:ascii="Times New Roman" w:hAnsi="Times New Roman" w:eastAsia="Times New Roman" w:cs="Times New Roman"/>
          <w:color w:val="auto"/>
          <w:kern w:val="0"/>
          <w:sz w:val="24"/>
        </w:rPr>
      </w:pPr>
      <w:r>
        <w:rPr>
          <w:rFonts w:ascii="FangSong_GB2312" w:hAnsi="FangSong_GB2312" w:eastAsia="FangSong_GB2312" w:cs="FangSong_GB2312"/>
          <w:kern w:val="0"/>
          <w:sz w:val="32"/>
          <w:szCs w:val="32"/>
          <w:lang w:eastAsia="en-US"/>
        </w:rPr>
        <w:t>1.</w:t>
      </w:r>
      <w:r>
        <w:rPr>
          <w:rFonts w:hint="eastAsia" w:ascii="FangSong_GB2312" w:hAnsi="FangSong_GB2312" w:eastAsia="FangSong_GB2312" w:cs="FangSong_GB2312"/>
          <w:kern w:val="0"/>
          <w:sz w:val="32"/>
          <w:szCs w:val="32"/>
          <w:lang w:eastAsia="zh-CN"/>
        </w:rPr>
        <w:t>审计业务补助经费</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100</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15.12</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15.12</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仿宋" w:hAnsi="仿宋" w:eastAsia="仿宋" w:cs="仿宋"/>
          <w:kern w:val="2"/>
          <w:sz w:val="32"/>
          <w:szCs w:val="32"/>
        </w:rPr>
        <w:t>数量指标、质量指标、时效指标与成本指标都按照年初既定计划完成</w:t>
      </w:r>
      <w:r>
        <w:rPr>
          <w:rFonts w:ascii="FangSong_GB2312" w:hAnsi="FangSong_GB2312" w:eastAsia="FangSong_GB2312" w:cs="FangSong_GB2312"/>
          <w:kern w:val="0"/>
          <w:sz w:val="32"/>
          <w:szCs w:val="32"/>
        </w:rPr>
        <w:t>。发现的主要问题及原因：</w:t>
      </w:r>
      <w:r>
        <w:rPr>
          <w:rFonts w:hint="eastAsia" w:ascii="FangSong_GB2312" w:hAnsi="FangSong_GB2312" w:eastAsia="FangSong_GB2312" w:cs="FangSong_GB2312"/>
          <w:color w:val="auto"/>
          <w:kern w:val="0"/>
          <w:sz w:val="32"/>
          <w:szCs w:val="32"/>
          <w:lang w:eastAsia="zh-CN"/>
        </w:rPr>
        <w:t>无</w:t>
      </w:r>
      <w:r>
        <w:rPr>
          <w:rFonts w:ascii="FangSong_GB2312" w:hAnsi="FangSong_GB2312" w:eastAsia="FangSong_GB2312" w:cs="FangSong_GB2312"/>
          <w:color w:val="auto"/>
          <w:kern w:val="0"/>
          <w:sz w:val="32"/>
          <w:szCs w:val="32"/>
        </w:rPr>
        <w:t>。下一步改进措施：</w:t>
      </w:r>
      <w:r>
        <w:rPr>
          <w:rFonts w:hint="eastAsia" w:ascii="FangSong_GB2312" w:hAnsi="FangSong_GB2312" w:eastAsia="FangSong_GB2312" w:cs="FangSong_GB2312"/>
          <w:color w:val="auto"/>
          <w:kern w:val="0"/>
          <w:sz w:val="32"/>
          <w:szCs w:val="32"/>
          <w:lang w:eastAsia="zh-CN"/>
        </w:rPr>
        <w:t>无</w:t>
      </w:r>
      <w:r>
        <w:rPr>
          <w:rFonts w:ascii="FangSong_GB2312" w:hAnsi="FangSong_GB2312" w:eastAsia="FangSong_GB2312" w:cs="FangSong_GB2312"/>
          <w:color w:val="auto"/>
          <w:kern w:val="0"/>
          <w:sz w:val="32"/>
          <w:szCs w:val="32"/>
        </w:rPr>
        <w:t>。</w:t>
      </w:r>
    </w:p>
    <w:p w14:paraId="1DD9E14B">
      <w:pPr>
        <w:pStyle w:val="28"/>
        <w:widowControl/>
        <w:spacing w:before="240" w:after="240" w:line="560" w:lineRule="atLeast"/>
        <w:ind w:firstLine="640"/>
        <w:jc w:val="left"/>
        <w:rPr>
          <w:rFonts w:ascii="FangSong_GB2312" w:hAnsi="FangSong_GB2312" w:eastAsia="FangSong_GB2312" w:cs="FangSong_GB2312"/>
          <w:color w:val="auto"/>
          <w:kern w:val="0"/>
          <w:sz w:val="32"/>
          <w:szCs w:val="32"/>
        </w:rPr>
      </w:pPr>
      <w:r>
        <w:rPr>
          <w:rFonts w:ascii="FangSong_GB2312" w:hAnsi="FangSong_GB2312" w:eastAsia="FangSong_GB2312" w:cs="FangSong_GB2312"/>
          <w:kern w:val="0"/>
          <w:sz w:val="32"/>
          <w:szCs w:val="32"/>
          <w:lang w:eastAsia="en-US"/>
        </w:rPr>
        <w:t>2.</w:t>
      </w:r>
      <w:r>
        <w:rPr>
          <w:rFonts w:hint="eastAsia" w:ascii="FangSong_GB2312" w:hAnsi="FangSong_GB2312" w:eastAsia="FangSong_GB2312" w:cs="FangSong_GB2312"/>
          <w:kern w:val="0"/>
          <w:sz w:val="32"/>
          <w:szCs w:val="32"/>
          <w:lang w:eastAsia="zh-CN"/>
        </w:rPr>
        <w:t>委托服务费</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100</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11.54</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11.54</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98.85</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仿宋" w:hAnsi="仿宋" w:eastAsia="仿宋" w:cs="仿宋"/>
          <w:kern w:val="2"/>
          <w:sz w:val="32"/>
          <w:szCs w:val="32"/>
        </w:rPr>
        <w:t>数量指标、质量指标、时效指标与成本指标都按照年初既定计划完成</w:t>
      </w:r>
      <w:r>
        <w:rPr>
          <w:rFonts w:ascii="FangSong_GB2312" w:hAnsi="FangSong_GB2312" w:eastAsia="FangSong_GB2312" w:cs="FangSong_GB2312"/>
          <w:kern w:val="0"/>
          <w:sz w:val="32"/>
          <w:szCs w:val="32"/>
        </w:rPr>
        <w:t>。发现的主要问题及原因：</w:t>
      </w:r>
      <w:r>
        <w:rPr>
          <w:rFonts w:hint="eastAsia" w:ascii="FangSong_GB2312" w:hAnsi="FangSong_GB2312" w:eastAsia="FangSong_GB2312" w:cs="FangSong_GB2312"/>
          <w:color w:val="auto"/>
          <w:kern w:val="0"/>
          <w:sz w:val="32"/>
          <w:szCs w:val="32"/>
          <w:lang w:eastAsia="zh-CN"/>
        </w:rPr>
        <w:t>无</w:t>
      </w:r>
      <w:r>
        <w:rPr>
          <w:rFonts w:ascii="FangSong_GB2312" w:hAnsi="FangSong_GB2312" w:eastAsia="FangSong_GB2312" w:cs="FangSong_GB2312"/>
          <w:color w:val="auto"/>
          <w:kern w:val="0"/>
          <w:sz w:val="32"/>
          <w:szCs w:val="32"/>
        </w:rPr>
        <w:t>。下一步改进措施：</w:t>
      </w:r>
      <w:r>
        <w:rPr>
          <w:rFonts w:hint="eastAsia" w:ascii="FangSong_GB2312" w:hAnsi="FangSong_GB2312" w:eastAsia="FangSong_GB2312" w:cs="FangSong_GB2312"/>
          <w:color w:val="auto"/>
          <w:kern w:val="0"/>
          <w:sz w:val="32"/>
          <w:szCs w:val="32"/>
          <w:lang w:eastAsia="zh-CN"/>
        </w:rPr>
        <w:t>无</w:t>
      </w:r>
      <w:r>
        <w:rPr>
          <w:rFonts w:ascii="FangSong_GB2312" w:hAnsi="FangSong_GB2312" w:eastAsia="FangSong_GB2312" w:cs="FangSong_GB2312"/>
          <w:color w:val="auto"/>
          <w:kern w:val="0"/>
          <w:sz w:val="32"/>
          <w:szCs w:val="32"/>
        </w:rPr>
        <w:t>。</w:t>
      </w:r>
    </w:p>
    <w:p w14:paraId="3A803B02">
      <w:pPr>
        <w:pStyle w:val="28"/>
        <w:widowControl/>
        <w:spacing w:before="240" w:after="240" w:line="560" w:lineRule="atLeast"/>
        <w:ind w:firstLine="640"/>
        <w:jc w:val="left"/>
        <w:rPr>
          <w:rFonts w:ascii="FangSong_GB2312" w:hAnsi="FangSong_GB2312" w:eastAsia="FangSong_GB2312" w:cs="FangSong_GB2312"/>
          <w:color w:val="auto"/>
          <w:kern w:val="0"/>
          <w:sz w:val="32"/>
          <w:szCs w:val="32"/>
        </w:rPr>
      </w:pPr>
      <w:r>
        <w:rPr>
          <w:rFonts w:hint="eastAsia" w:ascii="FangSong_GB2312" w:hAnsi="FangSong_GB2312" w:eastAsia="FangSong_GB2312" w:cs="FangSong_GB2312"/>
          <w:color w:val="auto"/>
          <w:kern w:val="0"/>
          <w:sz w:val="32"/>
          <w:szCs w:val="32"/>
          <w:lang w:val="en-US" w:eastAsia="zh-CN"/>
        </w:rPr>
        <w:t>3.</w:t>
      </w:r>
      <w:r>
        <w:rPr>
          <w:rFonts w:hint="eastAsia" w:ascii="FangSong_GB2312" w:hAnsi="FangSong_GB2312" w:eastAsia="FangSong_GB2312" w:cs="FangSong_GB2312"/>
          <w:kern w:val="0"/>
          <w:sz w:val="32"/>
          <w:szCs w:val="32"/>
          <w:lang w:eastAsia="zh-CN"/>
        </w:rPr>
        <w:t>审计业务经费</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99.64</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47.88</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46.16</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96.41</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仿宋" w:hAnsi="仿宋" w:eastAsia="仿宋" w:cs="仿宋"/>
          <w:kern w:val="2"/>
          <w:sz w:val="32"/>
          <w:szCs w:val="32"/>
        </w:rPr>
        <w:t>数量指标、质量指标、时效指标与成本指标都按照年初既定计划完成</w:t>
      </w:r>
      <w:r>
        <w:rPr>
          <w:rFonts w:ascii="FangSong_GB2312" w:hAnsi="FangSong_GB2312" w:eastAsia="FangSong_GB2312" w:cs="FangSong_GB2312"/>
          <w:kern w:val="0"/>
          <w:sz w:val="32"/>
          <w:szCs w:val="32"/>
        </w:rPr>
        <w:t>。发现的主要问题及原因：</w:t>
      </w:r>
      <w:r>
        <w:rPr>
          <w:rFonts w:hint="eastAsia" w:ascii="FangSong_GB2312" w:hAnsi="FangSong_GB2312" w:eastAsia="FangSong_GB2312" w:cs="FangSong_GB2312"/>
          <w:color w:val="auto"/>
          <w:kern w:val="0"/>
          <w:sz w:val="32"/>
          <w:szCs w:val="32"/>
          <w:lang w:eastAsia="zh-CN"/>
        </w:rPr>
        <w:t>无</w:t>
      </w:r>
      <w:r>
        <w:rPr>
          <w:rFonts w:ascii="FangSong_GB2312" w:hAnsi="FangSong_GB2312" w:eastAsia="FangSong_GB2312" w:cs="FangSong_GB2312"/>
          <w:color w:val="auto"/>
          <w:kern w:val="0"/>
          <w:sz w:val="32"/>
          <w:szCs w:val="32"/>
        </w:rPr>
        <w:t>。下一步改进措施：</w:t>
      </w:r>
      <w:r>
        <w:rPr>
          <w:rFonts w:hint="eastAsia" w:ascii="FangSong_GB2312" w:hAnsi="FangSong_GB2312" w:eastAsia="FangSong_GB2312" w:cs="FangSong_GB2312"/>
          <w:color w:val="auto"/>
          <w:kern w:val="0"/>
          <w:sz w:val="32"/>
          <w:szCs w:val="32"/>
          <w:lang w:eastAsia="zh-CN"/>
        </w:rPr>
        <w:t>无</w:t>
      </w:r>
      <w:r>
        <w:rPr>
          <w:rFonts w:ascii="FangSong_GB2312" w:hAnsi="FangSong_GB2312" w:eastAsia="FangSong_GB2312" w:cs="FangSong_GB2312"/>
          <w:color w:val="auto"/>
          <w:kern w:val="0"/>
          <w:sz w:val="32"/>
          <w:szCs w:val="32"/>
        </w:rPr>
        <w:t>。</w:t>
      </w:r>
    </w:p>
    <w:p w14:paraId="0459A6A3">
      <w:pPr>
        <w:pStyle w:val="28"/>
        <w:widowControl/>
        <w:spacing w:before="240" w:after="240" w:line="560" w:lineRule="atLeast"/>
        <w:ind w:firstLine="640"/>
        <w:jc w:val="left"/>
        <w:rPr>
          <w:rFonts w:hint="eastAsia" w:ascii="FangSong_GB2312" w:hAnsi="FangSong_GB2312" w:eastAsia="FangSong_GB2312" w:cs="FangSong_GB2312"/>
          <w:color w:val="auto"/>
          <w:kern w:val="0"/>
          <w:sz w:val="32"/>
          <w:szCs w:val="32"/>
          <w:lang w:eastAsia="zh-CN"/>
        </w:rPr>
      </w:pPr>
      <w:r>
        <w:rPr>
          <w:rFonts w:hint="eastAsia" w:ascii="FangSong_GB2312" w:hAnsi="FangSong_GB2312" w:eastAsia="FangSong_GB2312" w:cs="FangSong_GB2312"/>
          <w:color w:val="auto"/>
          <w:kern w:val="0"/>
          <w:sz w:val="32"/>
          <w:szCs w:val="32"/>
          <w:lang w:val="en-US" w:eastAsia="zh-CN"/>
        </w:rPr>
        <w:t>4.审计专项补助经费</w:t>
      </w:r>
      <w:r>
        <w:rPr>
          <w:rFonts w:ascii="FangSong_GB2312" w:hAnsi="FangSong_GB2312" w:eastAsia="FangSong_GB2312" w:cs="FangSong_GB2312"/>
          <w:kern w:val="0"/>
          <w:sz w:val="32"/>
          <w:szCs w:val="32"/>
        </w:rPr>
        <w:t>项目自评综述：根据年初设定的绩效目标，项目自评得分</w:t>
      </w:r>
      <w:r>
        <w:rPr>
          <w:rFonts w:hint="eastAsia"/>
          <w:kern w:val="0"/>
          <w:sz w:val="32"/>
          <w:szCs w:val="32"/>
          <w:u w:val="single"/>
          <w:lang w:val="en-US" w:eastAsia="zh-CN"/>
        </w:rPr>
        <w:t>100</w:t>
      </w:r>
      <w:r>
        <w:rPr>
          <w:rFonts w:ascii="FangSong_GB2312" w:hAnsi="FangSong_GB2312" w:eastAsia="FangSong_GB2312" w:cs="FangSong_GB2312"/>
          <w:kern w:val="0"/>
          <w:sz w:val="32"/>
          <w:szCs w:val="32"/>
        </w:rPr>
        <w:t>分。全年预算数为</w:t>
      </w:r>
      <w:r>
        <w:rPr>
          <w:rFonts w:hint="eastAsia"/>
          <w:kern w:val="0"/>
          <w:sz w:val="32"/>
          <w:szCs w:val="32"/>
          <w:u w:val="single"/>
          <w:lang w:val="en-US" w:eastAsia="zh-CN"/>
        </w:rPr>
        <w:t>5</w:t>
      </w:r>
      <w:r>
        <w:rPr>
          <w:rFonts w:ascii="FangSong_GB2312" w:hAnsi="FangSong_GB2312" w:eastAsia="FangSong_GB2312" w:cs="FangSong_GB2312"/>
          <w:kern w:val="0"/>
          <w:sz w:val="32"/>
          <w:szCs w:val="32"/>
        </w:rPr>
        <w:t>万元，执行数为</w:t>
      </w:r>
      <w:r>
        <w:rPr>
          <w:rFonts w:hint="eastAsia"/>
          <w:kern w:val="0"/>
          <w:sz w:val="32"/>
          <w:szCs w:val="32"/>
          <w:u w:val="single"/>
          <w:lang w:val="en-US" w:eastAsia="zh-CN"/>
        </w:rPr>
        <w:t>5</w:t>
      </w:r>
      <w:r>
        <w:rPr>
          <w:rFonts w:ascii="FangSong_GB2312" w:hAnsi="FangSong_GB2312" w:eastAsia="FangSong_GB2312" w:cs="FangSong_GB2312"/>
          <w:kern w:val="0"/>
          <w:sz w:val="32"/>
          <w:szCs w:val="32"/>
        </w:rPr>
        <w:t>万元，完成预算的</w:t>
      </w:r>
      <w:r>
        <w:rPr>
          <w:rFonts w:hint="eastAsia"/>
          <w:kern w:val="0"/>
          <w:sz w:val="32"/>
          <w:szCs w:val="32"/>
          <w:u w:val="single"/>
          <w:lang w:val="en-US" w:eastAsia="zh-CN"/>
        </w:rPr>
        <w:t>100</w:t>
      </w:r>
      <w:r>
        <w:rPr>
          <w:rFonts w:ascii="FangSong_GB2312" w:hAnsi="FangSong_GB2312" w:eastAsia="FangSong_GB2312" w:cs="FangSong_GB2312"/>
          <w:kern w:val="0"/>
          <w:sz w:val="32"/>
          <w:szCs w:val="32"/>
          <w:lang w:eastAsia="en-US"/>
        </w:rPr>
        <w:t>%</w:t>
      </w:r>
      <w:r>
        <w:rPr>
          <w:rFonts w:ascii="FangSong_GB2312" w:hAnsi="FangSong_GB2312" w:eastAsia="FangSong_GB2312" w:cs="FangSong_GB2312"/>
          <w:kern w:val="0"/>
          <w:sz w:val="32"/>
          <w:szCs w:val="32"/>
        </w:rPr>
        <w:t>。项目绩效目标完成情况：</w:t>
      </w:r>
      <w:r>
        <w:rPr>
          <w:rFonts w:hint="eastAsia" w:ascii="仿宋" w:hAnsi="仿宋" w:eastAsia="仿宋" w:cs="仿宋"/>
          <w:kern w:val="2"/>
          <w:sz w:val="32"/>
          <w:szCs w:val="32"/>
        </w:rPr>
        <w:t>数量指标、质量指标、时效指标与成本指标都按照年初既定计划完成</w:t>
      </w:r>
      <w:r>
        <w:rPr>
          <w:rFonts w:ascii="FangSong_GB2312" w:hAnsi="FangSong_GB2312" w:eastAsia="FangSong_GB2312" w:cs="FangSong_GB2312"/>
          <w:kern w:val="0"/>
          <w:sz w:val="32"/>
          <w:szCs w:val="32"/>
        </w:rPr>
        <w:t>。发现的主要问题及原因：</w:t>
      </w:r>
      <w:r>
        <w:rPr>
          <w:rFonts w:hint="eastAsia" w:ascii="FangSong_GB2312" w:hAnsi="FangSong_GB2312" w:eastAsia="FangSong_GB2312" w:cs="FangSong_GB2312"/>
          <w:color w:val="auto"/>
          <w:kern w:val="0"/>
          <w:sz w:val="32"/>
          <w:szCs w:val="32"/>
          <w:lang w:eastAsia="zh-CN"/>
        </w:rPr>
        <w:t>无</w:t>
      </w:r>
      <w:r>
        <w:rPr>
          <w:rFonts w:ascii="FangSong_GB2312" w:hAnsi="FangSong_GB2312" w:eastAsia="FangSong_GB2312" w:cs="FangSong_GB2312"/>
          <w:color w:val="auto"/>
          <w:kern w:val="0"/>
          <w:sz w:val="32"/>
          <w:szCs w:val="32"/>
        </w:rPr>
        <w:t>。下一步改进措施：</w:t>
      </w:r>
      <w:r>
        <w:rPr>
          <w:rFonts w:hint="eastAsia" w:ascii="FangSong_GB2312" w:hAnsi="FangSong_GB2312" w:eastAsia="FangSong_GB2312" w:cs="FangSong_GB2312"/>
          <w:color w:val="auto"/>
          <w:kern w:val="0"/>
          <w:sz w:val="32"/>
          <w:szCs w:val="32"/>
          <w:lang w:eastAsia="zh-CN"/>
        </w:rPr>
        <w:t>无。</w:t>
      </w:r>
    </w:p>
    <w:tbl>
      <w:tblPr>
        <w:tblStyle w:val="18"/>
        <w:tblW w:w="89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13"/>
        <w:gridCol w:w="446"/>
        <w:gridCol w:w="818"/>
        <w:gridCol w:w="1356"/>
        <w:gridCol w:w="791"/>
        <w:gridCol w:w="665"/>
        <w:gridCol w:w="765"/>
        <w:gridCol w:w="650"/>
        <w:gridCol w:w="631"/>
        <w:gridCol w:w="545"/>
        <w:gridCol w:w="756"/>
        <w:gridCol w:w="819"/>
      </w:tblGrid>
      <w:tr w14:paraId="4F752E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896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4ABB753B">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14:paraId="10740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92C54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7778"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D81A8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审计业务补助经费</w:t>
            </w:r>
          </w:p>
        </w:tc>
      </w:tr>
      <w:tr w14:paraId="22E2B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18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0D3151">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7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CF63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赤峰市松山区审计局（部门）</w:t>
            </w:r>
          </w:p>
        </w:tc>
        <w:tc>
          <w:tcPr>
            <w:tcW w:w="1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5EB0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26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21F58B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赤峰市松山区审计局</w:t>
            </w:r>
          </w:p>
        </w:tc>
      </w:tr>
      <w:tr w14:paraId="21F7B9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1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2ECB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0453">
            <w:pPr>
              <w:rPr>
                <w:rFonts w:hint="eastAsia" w:ascii="宋体" w:hAnsi="宋体" w:eastAsia="宋体" w:cs="宋体"/>
                <w:i w:val="0"/>
                <w:iCs w:val="0"/>
                <w:color w:val="000000"/>
                <w:sz w:val="18"/>
                <w:szCs w:val="18"/>
                <w:u w:val="none"/>
              </w:rPr>
            </w:pP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2D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4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17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1859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A1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135C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F48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1B94A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11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875C2C">
            <w:pPr>
              <w:jc w:val="center"/>
              <w:rPr>
                <w:rFonts w:hint="eastAsia" w:ascii="宋体" w:hAnsi="宋体" w:eastAsia="宋体" w:cs="宋体"/>
                <w:i w:val="0"/>
                <w:iCs w:val="0"/>
                <w:color w:val="000000"/>
                <w:sz w:val="18"/>
                <w:szCs w:val="18"/>
                <w:u w:val="none"/>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5D9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860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15.12</w:t>
            </w:r>
          </w:p>
        </w:tc>
        <w:tc>
          <w:tcPr>
            <w:tcW w:w="14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DDC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15.12</w:t>
            </w:r>
          </w:p>
        </w:tc>
        <w:tc>
          <w:tcPr>
            <w:tcW w:w="1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198C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15.12</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FA7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8C58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84B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40A1DC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11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B67100">
            <w:pPr>
              <w:jc w:val="center"/>
              <w:rPr>
                <w:rFonts w:hint="eastAsia" w:ascii="宋体" w:hAnsi="宋体" w:eastAsia="宋体" w:cs="宋体"/>
                <w:i w:val="0"/>
                <w:iCs w:val="0"/>
                <w:color w:val="000000"/>
                <w:sz w:val="18"/>
                <w:szCs w:val="18"/>
                <w:u w:val="none"/>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D4A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459A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15.12</w:t>
            </w:r>
          </w:p>
        </w:tc>
        <w:tc>
          <w:tcPr>
            <w:tcW w:w="14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5DFF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15.12</w:t>
            </w:r>
          </w:p>
        </w:tc>
        <w:tc>
          <w:tcPr>
            <w:tcW w:w="1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6B8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F9FB8">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1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57515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49D2D">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0211E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1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9EA84">
            <w:pPr>
              <w:jc w:val="center"/>
              <w:rPr>
                <w:rFonts w:hint="eastAsia" w:ascii="宋体" w:hAnsi="宋体" w:eastAsia="宋体" w:cs="宋体"/>
                <w:i w:val="0"/>
                <w:iCs w:val="0"/>
                <w:color w:val="000000"/>
                <w:sz w:val="18"/>
                <w:szCs w:val="18"/>
                <w:u w:val="none"/>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348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D970A">
            <w:pPr>
              <w:rPr>
                <w:rFonts w:hint="eastAsia" w:ascii="宋体" w:hAnsi="宋体" w:eastAsia="宋体" w:cs="宋体"/>
                <w:i w:val="0"/>
                <w:iCs w:val="0"/>
                <w:color w:val="000000"/>
                <w:sz w:val="18"/>
                <w:szCs w:val="18"/>
                <w:u w:val="none"/>
              </w:rPr>
            </w:pPr>
          </w:p>
        </w:tc>
        <w:tc>
          <w:tcPr>
            <w:tcW w:w="14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6C312E">
            <w:pPr>
              <w:jc w:val="center"/>
              <w:rPr>
                <w:rFonts w:hint="eastAsia" w:ascii="宋体" w:hAnsi="宋体" w:eastAsia="宋体" w:cs="宋体"/>
                <w:i w:val="0"/>
                <w:iCs w:val="0"/>
                <w:color w:val="000000"/>
                <w:sz w:val="18"/>
                <w:szCs w:val="18"/>
                <w:u w:val="none"/>
              </w:rPr>
            </w:pPr>
          </w:p>
        </w:tc>
        <w:tc>
          <w:tcPr>
            <w:tcW w:w="1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A450A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3BD6C">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1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65C965">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43A14">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432D1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1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40059F">
            <w:pPr>
              <w:jc w:val="center"/>
              <w:rPr>
                <w:rFonts w:hint="eastAsia" w:ascii="宋体" w:hAnsi="宋体" w:eastAsia="宋体" w:cs="宋体"/>
                <w:i w:val="0"/>
                <w:iCs w:val="0"/>
                <w:color w:val="000000"/>
                <w:sz w:val="18"/>
                <w:szCs w:val="18"/>
                <w:u w:val="none"/>
              </w:rPr>
            </w:pP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7F9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AD8B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4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D1F4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4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57DE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9B985">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11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D546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FC138">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02FB8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18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A5CB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4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396C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2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F9F07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248FB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118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1A134">
            <w:pPr>
              <w:jc w:val="center"/>
              <w:rPr>
                <w:rFonts w:hint="eastAsia" w:ascii="宋体" w:hAnsi="宋体" w:eastAsia="宋体" w:cs="宋体"/>
                <w:i w:val="0"/>
                <w:iCs w:val="0"/>
                <w:color w:val="000000"/>
                <w:sz w:val="18"/>
                <w:szCs w:val="18"/>
                <w:u w:val="none"/>
              </w:rPr>
            </w:pPr>
          </w:p>
        </w:tc>
        <w:tc>
          <w:tcPr>
            <w:tcW w:w="44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89934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完成2025年度上级部门部署的审计任务，计划对不少于10个单位进行业务审计，审计项目部少于20个.通过审计，对被审计单位的管理水平有所提高。</w:t>
            </w:r>
          </w:p>
        </w:tc>
        <w:tc>
          <w:tcPr>
            <w:tcW w:w="32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E2461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r>
      <w:tr w14:paraId="5622C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0" w:hRule="atLeast"/>
        </w:trPr>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C3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C92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3A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12C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558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6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E00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8C3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E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110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5FB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29B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F685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6CC05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733" w:type="dxa"/>
            <w:vMerge w:val="restart"/>
            <w:tcBorders>
              <w:top w:val="single" w:color="000000" w:sz="4" w:space="0"/>
              <w:left w:val="single" w:color="000000" w:sz="4" w:space="0"/>
              <w:bottom w:val="nil"/>
              <w:right w:val="single" w:color="000000" w:sz="4" w:space="0"/>
            </w:tcBorders>
            <w:shd w:val="clear" w:color="auto" w:fill="auto"/>
            <w:vAlign w:val="center"/>
          </w:tcPr>
          <w:p w14:paraId="214061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449" w:type="dxa"/>
            <w:vMerge w:val="restart"/>
            <w:tcBorders>
              <w:top w:val="single" w:color="000000" w:sz="4" w:space="0"/>
              <w:left w:val="single" w:color="000000" w:sz="4" w:space="0"/>
              <w:bottom w:val="nil"/>
              <w:right w:val="single" w:color="000000" w:sz="4" w:space="0"/>
            </w:tcBorders>
            <w:shd w:val="clear" w:color="auto" w:fill="auto"/>
            <w:vAlign w:val="center"/>
          </w:tcPr>
          <w:p w14:paraId="6A5D62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833" w:type="dxa"/>
            <w:vMerge w:val="restart"/>
            <w:tcBorders>
              <w:top w:val="single" w:color="000000" w:sz="4" w:space="0"/>
              <w:left w:val="single" w:color="000000" w:sz="4" w:space="0"/>
              <w:bottom w:val="nil"/>
              <w:right w:val="single" w:color="000000" w:sz="4" w:space="0"/>
            </w:tcBorders>
            <w:shd w:val="clear" w:color="auto" w:fill="auto"/>
            <w:vAlign w:val="center"/>
          </w:tcPr>
          <w:p w14:paraId="7FEC81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400" w:type="dxa"/>
            <w:tcBorders>
              <w:top w:val="single" w:color="000000" w:sz="4" w:space="0"/>
              <w:left w:val="single" w:color="000000" w:sz="4" w:space="0"/>
              <w:bottom w:val="nil"/>
              <w:right w:val="single" w:color="000000" w:sz="4" w:space="0"/>
            </w:tcBorders>
            <w:shd w:val="clear" w:color="auto" w:fill="auto"/>
            <w:vAlign w:val="center"/>
          </w:tcPr>
          <w:p w14:paraId="75505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审计单位</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150247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82" w:type="dxa"/>
            <w:tcBorders>
              <w:top w:val="single" w:color="000000" w:sz="4" w:space="0"/>
              <w:left w:val="single" w:color="000000" w:sz="4" w:space="0"/>
              <w:bottom w:val="nil"/>
              <w:right w:val="single" w:color="000000" w:sz="4" w:space="0"/>
            </w:tcBorders>
            <w:shd w:val="clear" w:color="auto" w:fill="auto"/>
            <w:vAlign w:val="center"/>
          </w:tcPr>
          <w:p w14:paraId="3895B6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766" w:type="dxa"/>
            <w:tcBorders>
              <w:top w:val="single" w:color="000000" w:sz="4" w:space="0"/>
              <w:left w:val="single" w:color="000000" w:sz="4" w:space="0"/>
              <w:bottom w:val="nil"/>
              <w:right w:val="single" w:color="000000" w:sz="4" w:space="0"/>
            </w:tcBorders>
            <w:shd w:val="clear" w:color="auto" w:fill="auto"/>
            <w:vAlign w:val="center"/>
          </w:tcPr>
          <w:p w14:paraId="304BCD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5AEEAA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633" w:type="dxa"/>
            <w:tcBorders>
              <w:top w:val="single" w:color="000000" w:sz="4" w:space="0"/>
              <w:left w:val="single" w:color="000000" w:sz="4" w:space="0"/>
              <w:bottom w:val="nil"/>
              <w:right w:val="single" w:color="000000" w:sz="4" w:space="0"/>
            </w:tcBorders>
            <w:shd w:val="clear" w:color="auto" w:fill="auto"/>
            <w:vAlign w:val="center"/>
          </w:tcPr>
          <w:p w14:paraId="6BE889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家</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160DFF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32178A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833" w:type="dxa"/>
            <w:tcBorders>
              <w:top w:val="single" w:color="000000" w:sz="4" w:space="0"/>
              <w:left w:val="single" w:color="000000" w:sz="4" w:space="0"/>
              <w:bottom w:val="nil"/>
              <w:right w:val="single" w:color="000000" w:sz="4" w:space="0"/>
            </w:tcBorders>
            <w:shd w:val="clear" w:color="auto" w:fill="auto"/>
            <w:vAlign w:val="center"/>
          </w:tcPr>
          <w:p w14:paraId="53B45B9A">
            <w:pPr>
              <w:jc w:val="center"/>
              <w:rPr>
                <w:rFonts w:hint="eastAsia" w:ascii="宋体" w:hAnsi="宋体" w:eastAsia="宋体" w:cs="宋体"/>
                <w:i w:val="0"/>
                <w:iCs w:val="0"/>
                <w:color w:val="000000"/>
                <w:sz w:val="18"/>
                <w:szCs w:val="18"/>
                <w:u w:val="none"/>
              </w:rPr>
            </w:pPr>
          </w:p>
        </w:tc>
      </w:tr>
      <w:tr w14:paraId="66B37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733" w:type="dxa"/>
            <w:vMerge w:val="continue"/>
            <w:tcBorders>
              <w:top w:val="single" w:color="000000" w:sz="4" w:space="0"/>
              <w:left w:val="single" w:color="000000" w:sz="4" w:space="0"/>
              <w:bottom w:val="nil"/>
              <w:right w:val="single" w:color="000000" w:sz="4" w:space="0"/>
            </w:tcBorders>
            <w:shd w:val="clear" w:color="auto" w:fill="auto"/>
            <w:vAlign w:val="center"/>
          </w:tcPr>
          <w:p w14:paraId="632BB1E3">
            <w:pPr>
              <w:jc w:val="center"/>
              <w:rPr>
                <w:rFonts w:hint="eastAsia" w:ascii="宋体" w:hAnsi="宋体" w:eastAsia="宋体" w:cs="宋体"/>
                <w:i w:val="0"/>
                <w:iCs w:val="0"/>
                <w:color w:val="000000"/>
                <w:sz w:val="18"/>
                <w:szCs w:val="18"/>
                <w:u w:val="none"/>
              </w:rPr>
            </w:pPr>
          </w:p>
        </w:tc>
        <w:tc>
          <w:tcPr>
            <w:tcW w:w="449" w:type="dxa"/>
            <w:vMerge w:val="continue"/>
            <w:tcBorders>
              <w:top w:val="single" w:color="000000" w:sz="4" w:space="0"/>
              <w:left w:val="single" w:color="000000" w:sz="4" w:space="0"/>
              <w:bottom w:val="nil"/>
              <w:right w:val="single" w:color="000000" w:sz="4" w:space="0"/>
            </w:tcBorders>
            <w:shd w:val="clear" w:color="auto" w:fill="auto"/>
            <w:vAlign w:val="center"/>
          </w:tcPr>
          <w:p w14:paraId="21080B73">
            <w:pPr>
              <w:jc w:val="center"/>
              <w:rPr>
                <w:rFonts w:hint="eastAsia" w:ascii="宋体" w:hAnsi="宋体" w:eastAsia="宋体" w:cs="宋体"/>
                <w:i w:val="0"/>
                <w:iCs w:val="0"/>
                <w:color w:val="000000"/>
                <w:sz w:val="18"/>
                <w:szCs w:val="18"/>
                <w:u w:val="none"/>
              </w:rPr>
            </w:pPr>
          </w:p>
        </w:tc>
        <w:tc>
          <w:tcPr>
            <w:tcW w:w="833" w:type="dxa"/>
            <w:vMerge w:val="continue"/>
            <w:tcBorders>
              <w:top w:val="single" w:color="000000" w:sz="4" w:space="0"/>
              <w:left w:val="single" w:color="000000" w:sz="4" w:space="0"/>
              <w:bottom w:val="nil"/>
              <w:right w:val="single" w:color="000000" w:sz="4" w:space="0"/>
            </w:tcBorders>
            <w:shd w:val="clear" w:color="auto" w:fill="auto"/>
            <w:vAlign w:val="center"/>
          </w:tcPr>
          <w:p w14:paraId="46FDD5FE">
            <w:pPr>
              <w:jc w:val="center"/>
              <w:rPr>
                <w:rFonts w:hint="eastAsia" w:ascii="宋体" w:hAnsi="宋体" w:eastAsia="宋体" w:cs="宋体"/>
                <w:i w:val="0"/>
                <w:iCs w:val="0"/>
                <w:color w:val="000000"/>
                <w:sz w:val="18"/>
                <w:szCs w:val="18"/>
                <w:u w:val="none"/>
              </w:rPr>
            </w:pPr>
          </w:p>
        </w:tc>
        <w:tc>
          <w:tcPr>
            <w:tcW w:w="1400" w:type="dxa"/>
            <w:tcBorders>
              <w:top w:val="single" w:color="000000" w:sz="4" w:space="0"/>
              <w:left w:val="single" w:color="000000" w:sz="4" w:space="0"/>
              <w:bottom w:val="nil"/>
              <w:right w:val="single" w:color="000000" w:sz="4" w:space="0"/>
            </w:tcBorders>
            <w:shd w:val="clear" w:color="auto" w:fill="auto"/>
            <w:vAlign w:val="center"/>
          </w:tcPr>
          <w:p w14:paraId="7F0C88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审计项目</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1AC213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82" w:type="dxa"/>
            <w:tcBorders>
              <w:top w:val="single" w:color="000000" w:sz="4" w:space="0"/>
              <w:left w:val="single" w:color="000000" w:sz="4" w:space="0"/>
              <w:bottom w:val="nil"/>
              <w:right w:val="single" w:color="000000" w:sz="4" w:space="0"/>
            </w:tcBorders>
            <w:shd w:val="clear" w:color="auto" w:fill="auto"/>
            <w:vAlign w:val="center"/>
          </w:tcPr>
          <w:p w14:paraId="45B089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766" w:type="dxa"/>
            <w:tcBorders>
              <w:top w:val="single" w:color="000000" w:sz="4" w:space="0"/>
              <w:left w:val="single" w:color="000000" w:sz="4" w:space="0"/>
              <w:bottom w:val="nil"/>
              <w:right w:val="single" w:color="000000" w:sz="4" w:space="0"/>
            </w:tcBorders>
            <w:shd w:val="clear" w:color="auto" w:fill="auto"/>
            <w:vAlign w:val="center"/>
          </w:tcPr>
          <w:p w14:paraId="732D70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6B0609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633" w:type="dxa"/>
            <w:tcBorders>
              <w:top w:val="single" w:color="000000" w:sz="4" w:space="0"/>
              <w:left w:val="single" w:color="000000" w:sz="4" w:space="0"/>
              <w:bottom w:val="nil"/>
              <w:right w:val="single" w:color="000000" w:sz="4" w:space="0"/>
            </w:tcBorders>
            <w:shd w:val="clear" w:color="auto" w:fill="auto"/>
            <w:vAlign w:val="center"/>
          </w:tcPr>
          <w:p w14:paraId="0A3BB7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077155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7A9972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833" w:type="dxa"/>
            <w:tcBorders>
              <w:top w:val="single" w:color="000000" w:sz="4" w:space="0"/>
              <w:left w:val="single" w:color="000000" w:sz="4" w:space="0"/>
              <w:bottom w:val="nil"/>
              <w:right w:val="single" w:color="000000" w:sz="4" w:space="0"/>
            </w:tcBorders>
            <w:shd w:val="clear" w:color="auto" w:fill="auto"/>
            <w:vAlign w:val="center"/>
          </w:tcPr>
          <w:p w14:paraId="5D52E94F">
            <w:pPr>
              <w:jc w:val="center"/>
              <w:rPr>
                <w:rFonts w:hint="eastAsia" w:ascii="宋体" w:hAnsi="宋体" w:eastAsia="宋体" w:cs="宋体"/>
                <w:i w:val="0"/>
                <w:iCs w:val="0"/>
                <w:color w:val="000000"/>
                <w:sz w:val="18"/>
                <w:szCs w:val="18"/>
                <w:u w:val="none"/>
              </w:rPr>
            </w:pPr>
          </w:p>
        </w:tc>
      </w:tr>
      <w:tr w14:paraId="44199D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733" w:type="dxa"/>
            <w:vMerge w:val="continue"/>
            <w:tcBorders>
              <w:top w:val="single" w:color="000000" w:sz="4" w:space="0"/>
              <w:left w:val="single" w:color="000000" w:sz="4" w:space="0"/>
              <w:bottom w:val="nil"/>
              <w:right w:val="single" w:color="000000" w:sz="4" w:space="0"/>
            </w:tcBorders>
            <w:shd w:val="clear" w:color="auto" w:fill="auto"/>
            <w:vAlign w:val="center"/>
          </w:tcPr>
          <w:p w14:paraId="0CC0E282">
            <w:pPr>
              <w:jc w:val="center"/>
              <w:rPr>
                <w:rFonts w:hint="eastAsia" w:ascii="宋体" w:hAnsi="宋体" w:eastAsia="宋体" w:cs="宋体"/>
                <w:i w:val="0"/>
                <w:iCs w:val="0"/>
                <w:color w:val="000000"/>
                <w:sz w:val="18"/>
                <w:szCs w:val="18"/>
                <w:u w:val="none"/>
              </w:rPr>
            </w:pPr>
          </w:p>
        </w:tc>
        <w:tc>
          <w:tcPr>
            <w:tcW w:w="449" w:type="dxa"/>
            <w:vMerge w:val="continue"/>
            <w:tcBorders>
              <w:top w:val="single" w:color="000000" w:sz="4" w:space="0"/>
              <w:left w:val="single" w:color="000000" w:sz="4" w:space="0"/>
              <w:bottom w:val="nil"/>
              <w:right w:val="single" w:color="000000" w:sz="4" w:space="0"/>
            </w:tcBorders>
            <w:shd w:val="clear" w:color="auto" w:fill="auto"/>
            <w:vAlign w:val="center"/>
          </w:tcPr>
          <w:p w14:paraId="44CBAE03">
            <w:pPr>
              <w:jc w:val="center"/>
              <w:rPr>
                <w:rFonts w:hint="eastAsia" w:ascii="宋体" w:hAnsi="宋体" w:eastAsia="宋体" w:cs="宋体"/>
                <w:i w:val="0"/>
                <w:iCs w:val="0"/>
                <w:color w:val="000000"/>
                <w:sz w:val="18"/>
                <w:szCs w:val="18"/>
                <w:u w:val="none"/>
              </w:rPr>
            </w:pPr>
          </w:p>
        </w:tc>
        <w:tc>
          <w:tcPr>
            <w:tcW w:w="833" w:type="dxa"/>
            <w:vMerge w:val="restart"/>
            <w:tcBorders>
              <w:top w:val="single" w:color="000000" w:sz="4" w:space="0"/>
              <w:left w:val="single" w:color="000000" w:sz="4" w:space="0"/>
              <w:bottom w:val="nil"/>
              <w:right w:val="single" w:color="000000" w:sz="4" w:space="0"/>
            </w:tcBorders>
            <w:shd w:val="clear" w:color="auto" w:fill="auto"/>
            <w:vAlign w:val="center"/>
          </w:tcPr>
          <w:p w14:paraId="122A5D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400" w:type="dxa"/>
            <w:tcBorders>
              <w:top w:val="single" w:color="000000" w:sz="4" w:space="0"/>
              <w:left w:val="single" w:color="000000" w:sz="4" w:space="0"/>
              <w:bottom w:val="nil"/>
              <w:right w:val="single" w:color="000000" w:sz="4" w:space="0"/>
            </w:tcBorders>
            <w:shd w:val="clear" w:color="auto" w:fill="auto"/>
            <w:vAlign w:val="center"/>
          </w:tcPr>
          <w:p w14:paraId="726E6B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单位审计完成率</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22A044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82" w:type="dxa"/>
            <w:tcBorders>
              <w:top w:val="single" w:color="000000" w:sz="4" w:space="0"/>
              <w:left w:val="single" w:color="000000" w:sz="4" w:space="0"/>
              <w:bottom w:val="nil"/>
              <w:right w:val="single" w:color="000000" w:sz="4" w:space="0"/>
            </w:tcBorders>
            <w:shd w:val="clear" w:color="auto" w:fill="auto"/>
            <w:vAlign w:val="center"/>
          </w:tcPr>
          <w:p w14:paraId="50BC1E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766" w:type="dxa"/>
            <w:tcBorders>
              <w:top w:val="single" w:color="000000" w:sz="4" w:space="0"/>
              <w:left w:val="single" w:color="000000" w:sz="4" w:space="0"/>
              <w:bottom w:val="nil"/>
              <w:right w:val="single" w:color="000000" w:sz="4" w:space="0"/>
            </w:tcBorders>
            <w:shd w:val="clear" w:color="auto" w:fill="auto"/>
            <w:vAlign w:val="center"/>
          </w:tcPr>
          <w:p w14:paraId="38C060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39EE83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633" w:type="dxa"/>
            <w:tcBorders>
              <w:top w:val="single" w:color="000000" w:sz="4" w:space="0"/>
              <w:left w:val="single" w:color="000000" w:sz="4" w:space="0"/>
              <w:bottom w:val="nil"/>
              <w:right w:val="single" w:color="000000" w:sz="4" w:space="0"/>
            </w:tcBorders>
            <w:shd w:val="clear" w:color="auto" w:fill="auto"/>
            <w:vAlign w:val="center"/>
          </w:tcPr>
          <w:p w14:paraId="1F804B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02B486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7BAC9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833" w:type="dxa"/>
            <w:tcBorders>
              <w:top w:val="single" w:color="000000" w:sz="4" w:space="0"/>
              <w:left w:val="single" w:color="000000" w:sz="4" w:space="0"/>
              <w:bottom w:val="nil"/>
              <w:right w:val="single" w:color="000000" w:sz="4" w:space="0"/>
            </w:tcBorders>
            <w:shd w:val="clear" w:color="auto" w:fill="auto"/>
            <w:vAlign w:val="center"/>
          </w:tcPr>
          <w:p w14:paraId="19253637">
            <w:pPr>
              <w:jc w:val="center"/>
              <w:rPr>
                <w:rFonts w:hint="eastAsia" w:ascii="宋体" w:hAnsi="宋体" w:eastAsia="宋体" w:cs="宋体"/>
                <w:i w:val="0"/>
                <w:iCs w:val="0"/>
                <w:color w:val="000000"/>
                <w:sz w:val="18"/>
                <w:szCs w:val="18"/>
                <w:u w:val="none"/>
              </w:rPr>
            </w:pPr>
          </w:p>
        </w:tc>
      </w:tr>
      <w:tr w14:paraId="6BF75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733" w:type="dxa"/>
            <w:vMerge w:val="continue"/>
            <w:tcBorders>
              <w:top w:val="single" w:color="000000" w:sz="4" w:space="0"/>
              <w:left w:val="single" w:color="000000" w:sz="4" w:space="0"/>
              <w:bottom w:val="nil"/>
              <w:right w:val="single" w:color="000000" w:sz="4" w:space="0"/>
            </w:tcBorders>
            <w:shd w:val="clear" w:color="auto" w:fill="auto"/>
            <w:vAlign w:val="center"/>
          </w:tcPr>
          <w:p w14:paraId="315EAC21">
            <w:pPr>
              <w:jc w:val="center"/>
              <w:rPr>
                <w:rFonts w:hint="eastAsia" w:ascii="宋体" w:hAnsi="宋体" w:eastAsia="宋体" w:cs="宋体"/>
                <w:i w:val="0"/>
                <w:iCs w:val="0"/>
                <w:color w:val="000000"/>
                <w:sz w:val="18"/>
                <w:szCs w:val="18"/>
                <w:u w:val="none"/>
              </w:rPr>
            </w:pPr>
          </w:p>
        </w:tc>
        <w:tc>
          <w:tcPr>
            <w:tcW w:w="449" w:type="dxa"/>
            <w:vMerge w:val="continue"/>
            <w:tcBorders>
              <w:top w:val="single" w:color="000000" w:sz="4" w:space="0"/>
              <w:left w:val="single" w:color="000000" w:sz="4" w:space="0"/>
              <w:bottom w:val="nil"/>
              <w:right w:val="single" w:color="000000" w:sz="4" w:space="0"/>
            </w:tcBorders>
            <w:shd w:val="clear" w:color="auto" w:fill="auto"/>
            <w:vAlign w:val="center"/>
          </w:tcPr>
          <w:p w14:paraId="389B0CC9">
            <w:pPr>
              <w:jc w:val="center"/>
              <w:rPr>
                <w:rFonts w:hint="eastAsia" w:ascii="宋体" w:hAnsi="宋体" w:eastAsia="宋体" w:cs="宋体"/>
                <w:i w:val="0"/>
                <w:iCs w:val="0"/>
                <w:color w:val="000000"/>
                <w:sz w:val="18"/>
                <w:szCs w:val="18"/>
                <w:u w:val="none"/>
              </w:rPr>
            </w:pPr>
          </w:p>
        </w:tc>
        <w:tc>
          <w:tcPr>
            <w:tcW w:w="833" w:type="dxa"/>
            <w:vMerge w:val="continue"/>
            <w:tcBorders>
              <w:top w:val="single" w:color="000000" w:sz="4" w:space="0"/>
              <w:left w:val="single" w:color="000000" w:sz="4" w:space="0"/>
              <w:bottom w:val="nil"/>
              <w:right w:val="single" w:color="000000" w:sz="4" w:space="0"/>
            </w:tcBorders>
            <w:shd w:val="clear" w:color="auto" w:fill="auto"/>
            <w:vAlign w:val="center"/>
          </w:tcPr>
          <w:p w14:paraId="2F0FD864">
            <w:pPr>
              <w:jc w:val="center"/>
              <w:rPr>
                <w:rFonts w:hint="eastAsia" w:ascii="宋体" w:hAnsi="宋体" w:eastAsia="宋体" w:cs="宋体"/>
                <w:i w:val="0"/>
                <w:iCs w:val="0"/>
                <w:color w:val="000000"/>
                <w:sz w:val="18"/>
                <w:szCs w:val="18"/>
                <w:u w:val="none"/>
              </w:rPr>
            </w:pPr>
          </w:p>
        </w:tc>
        <w:tc>
          <w:tcPr>
            <w:tcW w:w="1400" w:type="dxa"/>
            <w:tcBorders>
              <w:top w:val="single" w:color="000000" w:sz="4" w:space="0"/>
              <w:left w:val="single" w:color="000000" w:sz="4" w:space="0"/>
              <w:bottom w:val="nil"/>
              <w:right w:val="single" w:color="000000" w:sz="4" w:space="0"/>
            </w:tcBorders>
            <w:shd w:val="clear" w:color="auto" w:fill="auto"/>
            <w:vAlign w:val="center"/>
          </w:tcPr>
          <w:p w14:paraId="3D4901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项目审计完成率</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377B6E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82" w:type="dxa"/>
            <w:tcBorders>
              <w:top w:val="single" w:color="000000" w:sz="4" w:space="0"/>
              <w:left w:val="single" w:color="000000" w:sz="4" w:space="0"/>
              <w:bottom w:val="nil"/>
              <w:right w:val="single" w:color="000000" w:sz="4" w:space="0"/>
            </w:tcBorders>
            <w:shd w:val="clear" w:color="auto" w:fill="auto"/>
            <w:vAlign w:val="center"/>
          </w:tcPr>
          <w:p w14:paraId="391757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766" w:type="dxa"/>
            <w:tcBorders>
              <w:top w:val="single" w:color="000000" w:sz="4" w:space="0"/>
              <w:left w:val="single" w:color="000000" w:sz="4" w:space="0"/>
              <w:bottom w:val="nil"/>
              <w:right w:val="single" w:color="000000" w:sz="4" w:space="0"/>
            </w:tcBorders>
            <w:shd w:val="clear" w:color="auto" w:fill="auto"/>
            <w:vAlign w:val="center"/>
          </w:tcPr>
          <w:p w14:paraId="258F87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3BC328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633" w:type="dxa"/>
            <w:tcBorders>
              <w:top w:val="single" w:color="000000" w:sz="4" w:space="0"/>
              <w:left w:val="single" w:color="000000" w:sz="4" w:space="0"/>
              <w:bottom w:val="nil"/>
              <w:right w:val="single" w:color="000000" w:sz="4" w:space="0"/>
            </w:tcBorders>
            <w:shd w:val="clear" w:color="auto" w:fill="auto"/>
            <w:vAlign w:val="center"/>
          </w:tcPr>
          <w:p w14:paraId="0DF76B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298404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431D01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833" w:type="dxa"/>
            <w:tcBorders>
              <w:top w:val="single" w:color="000000" w:sz="4" w:space="0"/>
              <w:left w:val="single" w:color="000000" w:sz="4" w:space="0"/>
              <w:bottom w:val="nil"/>
              <w:right w:val="single" w:color="000000" w:sz="4" w:space="0"/>
            </w:tcBorders>
            <w:shd w:val="clear" w:color="auto" w:fill="auto"/>
            <w:vAlign w:val="center"/>
          </w:tcPr>
          <w:p w14:paraId="1BB243A9">
            <w:pPr>
              <w:jc w:val="center"/>
              <w:rPr>
                <w:rFonts w:hint="eastAsia" w:ascii="宋体" w:hAnsi="宋体" w:eastAsia="宋体" w:cs="宋体"/>
                <w:i w:val="0"/>
                <w:iCs w:val="0"/>
                <w:color w:val="000000"/>
                <w:sz w:val="18"/>
                <w:szCs w:val="18"/>
                <w:u w:val="none"/>
              </w:rPr>
            </w:pPr>
          </w:p>
        </w:tc>
      </w:tr>
      <w:tr w14:paraId="3F8E8B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733" w:type="dxa"/>
            <w:vMerge w:val="continue"/>
            <w:tcBorders>
              <w:top w:val="single" w:color="000000" w:sz="4" w:space="0"/>
              <w:left w:val="single" w:color="000000" w:sz="4" w:space="0"/>
              <w:bottom w:val="nil"/>
              <w:right w:val="single" w:color="000000" w:sz="4" w:space="0"/>
            </w:tcBorders>
            <w:shd w:val="clear" w:color="auto" w:fill="auto"/>
            <w:vAlign w:val="center"/>
          </w:tcPr>
          <w:p w14:paraId="7CE87B53">
            <w:pPr>
              <w:jc w:val="center"/>
              <w:rPr>
                <w:rFonts w:hint="eastAsia" w:ascii="宋体" w:hAnsi="宋体" w:eastAsia="宋体" w:cs="宋体"/>
                <w:i w:val="0"/>
                <w:iCs w:val="0"/>
                <w:color w:val="000000"/>
                <w:sz w:val="18"/>
                <w:szCs w:val="18"/>
                <w:u w:val="none"/>
              </w:rPr>
            </w:pPr>
          </w:p>
        </w:tc>
        <w:tc>
          <w:tcPr>
            <w:tcW w:w="449" w:type="dxa"/>
            <w:vMerge w:val="continue"/>
            <w:tcBorders>
              <w:top w:val="single" w:color="000000" w:sz="4" w:space="0"/>
              <w:left w:val="single" w:color="000000" w:sz="4" w:space="0"/>
              <w:bottom w:val="nil"/>
              <w:right w:val="single" w:color="000000" w:sz="4" w:space="0"/>
            </w:tcBorders>
            <w:shd w:val="clear" w:color="auto" w:fill="auto"/>
            <w:vAlign w:val="center"/>
          </w:tcPr>
          <w:p w14:paraId="2420CBD6">
            <w:pPr>
              <w:jc w:val="center"/>
              <w:rPr>
                <w:rFonts w:hint="eastAsia" w:ascii="宋体" w:hAnsi="宋体" w:eastAsia="宋体" w:cs="宋体"/>
                <w:i w:val="0"/>
                <w:iCs w:val="0"/>
                <w:color w:val="000000"/>
                <w:sz w:val="18"/>
                <w:szCs w:val="18"/>
                <w:u w:val="none"/>
              </w:rPr>
            </w:pPr>
          </w:p>
        </w:tc>
        <w:tc>
          <w:tcPr>
            <w:tcW w:w="833" w:type="dxa"/>
            <w:vMerge w:val="restart"/>
            <w:tcBorders>
              <w:top w:val="single" w:color="000000" w:sz="4" w:space="0"/>
              <w:left w:val="single" w:color="000000" w:sz="4" w:space="0"/>
              <w:bottom w:val="nil"/>
              <w:right w:val="single" w:color="000000" w:sz="4" w:space="0"/>
            </w:tcBorders>
            <w:shd w:val="clear" w:color="auto" w:fill="auto"/>
            <w:vAlign w:val="center"/>
          </w:tcPr>
          <w:p w14:paraId="5A8E08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400" w:type="dxa"/>
            <w:tcBorders>
              <w:top w:val="single" w:color="000000" w:sz="4" w:space="0"/>
              <w:left w:val="single" w:color="000000" w:sz="4" w:space="0"/>
              <w:bottom w:val="nil"/>
              <w:right w:val="single" w:color="000000" w:sz="4" w:space="0"/>
            </w:tcBorders>
            <w:shd w:val="clear" w:color="auto" w:fill="auto"/>
            <w:vAlign w:val="center"/>
          </w:tcPr>
          <w:p w14:paraId="587A56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当年完成项目审计</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268D23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82" w:type="dxa"/>
            <w:tcBorders>
              <w:top w:val="single" w:color="000000" w:sz="4" w:space="0"/>
              <w:left w:val="single" w:color="000000" w:sz="4" w:space="0"/>
              <w:bottom w:val="nil"/>
              <w:right w:val="single" w:color="000000" w:sz="4" w:space="0"/>
            </w:tcBorders>
            <w:shd w:val="clear" w:color="auto" w:fill="auto"/>
            <w:vAlign w:val="center"/>
          </w:tcPr>
          <w:p w14:paraId="66C449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766" w:type="dxa"/>
            <w:tcBorders>
              <w:top w:val="single" w:color="000000" w:sz="4" w:space="0"/>
              <w:left w:val="single" w:color="000000" w:sz="4" w:space="0"/>
              <w:bottom w:val="nil"/>
              <w:right w:val="single" w:color="000000" w:sz="4" w:space="0"/>
            </w:tcBorders>
            <w:shd w:val="clear" w:color="auto" w:fill="auto"/>
            <w:vAlign w:val="center"/>
          </w:tcPr>
          <w:p w14:paraId="54DF54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4747F2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633" w:type="dxa"/>
            <w:tcBorders>
              <w:top w:val="single" w:color="000000" w:sz="4" w:space="0"/>
              <w:left w:val="single" w:color="000000" w:sz="4" w:space="0"/>
              <w:bottom w:val="nil"/>
              <w:right w:val="single" w:color="000000" w:sz="4" w:space="0"/>
            </w:tcBorders>
            <w:shd w:val="clear" w:color="auto" w:fill="auto"/>
            <w:vAlign w:val="center"/>
          </w:tcPr>
          <w:p w14:paraId="638982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31B713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34010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33" w:type="dxa"/>
            <w:tcBorders>
              <w:top w:val="single" w:color="000000" w:sz="4" w:space="0"/>
              <w:left w:val="single" w:color="000000" w:sz="4" w:space="0"/>
              <w:bottom w:val="nil"/>
              <w:right w:val="single" w:color="000000" w:sz="4" w:space="0"/>
            </w:tcBorders>
            <w:shd w:val="clear" w:color="auto" w:fill="auto"/>
            <w:vAlign w:val="center"/>
          </w:tcPr>
          <w:p w14:paraId="2F5F5D65">
            <w:pPr>
              <w:jc w:val="center"/>
              <w:rPr>
                <w:rFonts w:hint="eastAsia" w:ascii="宋体" w:hAnsi="宋体" w:eastAsia="宋体" w:cs="宋体"/>
                <w:i w:val="0"/>
                <w:iCs w:val="0"/>
                <w:color w:val="000000"/>
                <w:sz w:val="18"/>
                <w:szCs w:val="18"/>
                <w:u w:val="none"/>
              </w:rPr>
            </w:pPr>
          </w:p>
        </w:tc>
      </w:tr>
      <w:tr w14:paraId="74CBF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733" w:type="dxa"/>
            <w:vMerge w:val="continue"/>
            <w:tcBorders>
              <w:top w:val="single" w:color="000000" w:sz="4" w:space="0"/>
              <w:left w:val="single" w:color="000000" w:sz="4" w:space="0"/>
              <w:bottom w:val="nil"/>
              <w:right w:val="single" w:color="000000" w:sz="4" w:space="0"/>
            </w:tcBorders>
            <w:shd w:val="clear" w:color="auto" w:fill="auto"/>
            <w:vAlign w:val="center"/>
          </w:tcPr>
          <w:p w14:paraId="4576D329">
            <w:pPr>
              <w:jc w:val="center"/>
              <w:rPr>
                <w:rFonts w:hint="eastAsia" w:ascii="宋体" w:hAnsi="宋体" w:eastAsia="宋体" w:cs="宋体"/>
                <w:i w:val="0"/>
                <w:iCs w:val="0"/>
                <w:color w:val="000000"/>
                <w:sz w:val="18"/>
                <w:szCs w:val="18"/>
                <w:u w:val="none"/>
              </w:rPr>
            </w:pPr>
          </w:p>
        </w:tc>
        <w:tc>
          <w:tcPr>
            <w:tcW w:w="449" w:type="dxa"/>
            <w:vMerge w:val="continue"/>
            <w:tcBorders>
              <w:top w:val="single" w:color="000000" w:sz="4" w:space="0"/>
              <w:left w:val="single" w:color="000000" w:sz="4" w:space="0"/>
              <w:bottom w:val="nil"/>
              <w:right w:val="single" w:color="000000" w:sz="4" w:space="0"/>
            </w:tcBorders>
            <w:shd w:val="clear" w:color="auto" w:fill="auto"/>
            <w:vAlign w:val="center"/>
          </w:tcPr>
          <w:p w14:paraId="0FE5C2B5">
            <w:pPr>
              <w:jc w:val="center"/>
              <w:rPr>
                <w:rFonts w:hint="eastAsia" w:ascii="宋体" w:hAnsi="宋体" w:eastAsia="宋体" w:cs="宋体"/>
                <w:i w:val="0"/>
                <w:iCs w:val="0"/>
                <w:color w:val="000000"/>
                <w:sz w:val="18"/>
                <w:szCs w:val="18"/>
                <w:u w:val="none"/>
              </w:rPr>
            </w:pPr>
          </w:p>
        </w:tc>
        <w:tc>
          <w:tcPr>
            <w:tcW w:w="833" w:type="dxa"/>
            <w:vMerge w:val="continue"/>
            <w:tcBorders>
              <w:top w:val="single" w:color="000000" w:sz="4" w:space="0"/>
              <w:left w:val="single" w:color="000000" w:sz="4" w:space="0"/>
              <w:bottom w:val="nil"/>
              <w:right w:val="single" w:color="000000" w:sz="4" w:space="0"/>
            </w:tcBorders>
            <w:shd w:val="clear" w:color="auto" w:fill="auto"/>
            <w:vAlign w:val="center"/>
          </w:tcPr>
          <w:p w14:paraId="5A232D6F">
            <w:pPr>
              <w:jc w:val="center"/>
              <w:rPr>
                <w:rFonts w:hint="eastAsia" w:ascii="宋体" w:hAnsi="宋体" w:eastAsia="宋体" w:cs="宋体"/>
                <w:i w:val="0"/>
                <w:iCs w:val="0"/>
                <w:color w:val="000000"/>
                <w:sz w:val="18"/>
                <w:szCs w:val="18"/>
                <w:u w:val="none"/>
              </w:rPr>
            </w:pPr>
          </w:p>
        </w:tc>
        <w:tc>
          <w:tcPr>
            <w:tcW w:w="1400" w:type="dxa"/>
            <w:tcBorders>
              <w:top w:val="single" w:color="000000" w:sz="4" w:space="0"/>
              <w:left w:val="single" w:color="000000" w:sz="4" w:space="0"/>
              <w:bottom w:val="nil"/>
              <w:right w:val="single" w:color="000000" w:sz="4" w:space="0"/>
            </w:tcBorders>
            <w:shd w:val="clear" w:color="auto" w:fill="auto"/>
            <w:vAlign w:val="center"/>
          </w:tcPr>
          <w:p w14:paraId="6F0225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当年完成单位审计</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74E77A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82" w:type="dxa"/>
            <w:tcBorders>
              <w:top w:val="single" w:color="000000" w:sz="4" w:space="0"/>
              <w:left w:val="single" w:color="000000" w:sz="4" w:space="0"/>
              <w:bottom w:val="nil"/>
              <w:right w:val="single" w:color="000000" w:sz="4" w:space="0"/>
            </w:tcBorders>
            <w:shd w:val="clear" w:color="auto" w:fill="auto"/>
            <w:vAlign w:val="center"/>
          </w:tcPr>
          <w:p w14:paraId="6E7ECA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766" w:type="dxa"/>
            <w:tcBorders>
              <w:top w:val="single" w:color="000000" w:sz="4" w:space="0"/>
              <w:left w:val="single" w:color="000000" w:sz="4" w:space="0"/>
              <w:bottom w:val="nil"/>
              <w:right w:val="single" w:color="000000" w:sz="4" w:space="0"/>
            </w:tcBorders>
            <w:shd w:val="clear" w:color="auto" w:fill="auto"/>
            <w:vAlign w:val="center"/>
          </w:tcPr>
          <w:p w14:paraId="618B62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6CA0AB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633" w:type="dxa"/>
            <w:tcBorders>
              <w:top w:val="single" w:color="000000" w:sz="4" w:space="0"/>
              <w:left w:val="single" w:color="000000" w:sz="4" w:space="0"/>
              <w:bottom w:val="nil"/>
              <w:right w:val="single" w:color="000000" w:sz="4" w:space="0"/>
            </w:tcBorders>
            <w:shd w:val="clear" w:color="auto" w:fill="auto"/>
            <w:vAlign w:val="center"/>
          </w:tcPr>
          <w:p w14:paraId="3D87F0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25ABDD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098049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33" w:type="dxa"/>
            <w:tcBorders>
              <w:top w:val="single" w:color="000000" w:sz="4" w:space="0"/>
              <w:left w:val="single" w:color="000000" w:sz="4" w:space="0"/>
              <w:bottom w:val="nil"/>
              <w:right w:val="single" w:color="000000" w:sz="4" w:space="0"/>
            </w:tcBorders>
            <w:shd w:val="clear" w:color="auto" w:fill="auto"/>
            <w:vAlign w:val="center"/>
          </w:tcPr>
          <w:p w14:paraId="15CCD1AD">
            <w:pPr>
              <w:jc w:val="center"/>
              <w:rPr>
                <w:rFonts w:hint="eastAsia" w:ascii="宋体" w:hAnsi="宋体" w:eastAsia="宋体" w:cs="宋体"/>
                <w:i w:val="0"/>
                <w:iCs w:val="0"/>
                <w:color w:val="000000"/>
                <w:sz w:val="18"/>
                <w:szCs w:val="18"/>
                <w:u w:val="none"/>
              </w:rPr>
            </w:pPr>
          </w:p>
        </w:tc>
      </w:tr>
      <w:tr w14:paraId="2D30D6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733" w:type="dxa"/>
            <w:vMerge w:val="continue"/>
            <w:tcBorders>
              <w:top w:val="single" w:color="000000" w:sz="4" w:space="0"/>
              <w:left w:val="single" w:color="000000" w:sz="4" w:space="0"/>
              <w:bottom w:val="nil"/>
              <w:right w:val="single" w:color="000000" w:sz="4" w:space="0"/>
            </w:tcBorders>
            <w:shd w:val="clear" w:color="auto" w:fill="auto"/>
            <w:vAlign w:val="center"/>
          </w:tcPr>
          <w:p w14:paraId="4A175852">
            <w:pPr>
              <w:jc w:val="center"/>
              <w:rPr>
                <w:rFonts w:hint="eastAsia" w:ascii="宋体" w:hAnsi="宋体" w:eastAsia="宋体" w:cs="宋体"/>
                <w:i w:val="0"/>
                <w:iCs w:val="0"/>
                <w:color w:val="000000"/>
                <w:sz w:val="18"/>
                <w:szCs w:val="18"/>
                <w:u w:val="none"/>
              </w:rPr>
            </w:pPr>
          </w:p>
        </w:tc>
        <w:tc>
          <w:tcPr>
            <w:tcW w:w="449" w:type="dxa"/>
            <w:vMerge w:val="continue"/>
            <w:tcBorders>
              <w:top w:val="single" w:color="000000" w:sz="4" w:space="0"/>
              <w:left w:val="single" w:color="000000" w:sz="4" w:space="0"/>
              <w:bottom w:val="nil"/>
              <w:right w:val="single" w:color="000000" w:sz="4" w:space="0"/>
            </w:tcBorders>
            <w:shd w:val="clear" w:color="auto" w:fill="auto"/>
            <w:vAlign w:val="center"/>
          </w:tcPr>
          <w:p w14:paraId="0FFEDB19">
            <w:pPr>
              <w:jc w:val="center"/>
              <w:rPr>
                <w:rFonts w:hint="eastAsia" w:ascii="宋体" w:hAnsi="宋体" w:eastAsia="宋体" w:cs="宋体"/>
                <w:i w:val="0"/>
                <w:iCs w:val="0"/>
                <w:color w:val="000000"/>
                <w:sz w:val="18"/>
                <w:szCs w:val="18"/>
                <w:u w:val="none"/>
              </w:rPr>
            </w:pPr>
          </w:p>
        </w:tc>
        <w:tc>
          <w:tcPr>
            <w:tcW w:w="833" w:type="dxa"/>
            <w:vMerge w:val="restart"/>
            <w:tcBorders>
              <w:top w:val="single" w:color="000000" w:sz="4" w:space="0"/>
              <w:left w:val="single" w:color="000000" w:sz="4" w:space="0"/>
              <w:bottom w:val="nil"/>
              <w:right w:val="single" w:color="000000" w:sz="4" w:space="0"/>
            </w:tcBorders>
            <w:shd w:val="clear" w:color="auto" w:fill="auto"/>
            <w:vAlign w:val="center"/>
          </w:tcPr>
          <w:p w14:paraId="140697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400" w:type="dxa"/>
            <w:tcBorders>
              <w:top w:val="single" w:color="000000" w:sz="4" w:space="0"/>
              <w:left w:val="single" w:color="000000" w:sz="4" w:space="0"/>
              <w:bottom w:val="nil"/>
              <w:right w:val="single" w:color="000000" w:sz="4" w:space="0"/>
            </w:tcBorders>
            <w:shd w:val="clear" w:color="auto" w:fill="auto"/>
            <w:vAlign w:val="center"/>
          </w:tcPr>
          <w:p w14:paraId="57130D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全年审计业务补助经费总成本</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37CF9D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682" w:type="dxa"/>
            <w:tcBorders>
              <w:top w:val="single" w:color="000000" w:sz="4" w:space="0"/>
              <w:left w:val="single" w:color="000000" w:sz="4" w:space="0"/>
              <w:bottom w:val="nil"/>
              <w:right w:val="single" w:color="000000" w:sz="4" w:space="0"/>
            </w:tcBorders>
            <w:shd w:val="clear" w:color="auto" w:fill="auto"/>
            <w:vAlign w:val="center"/>
          </w:tcPr>
          <w:p w14:paraId="0C07ED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766" w:type="dxa"/>
            <w:tcBorders>
              <w:top w:val="single" w:color="000000" w:sz="4" w:space="0"/>
              <w:left w:val="single" w:color="000000" w:sz="4" w:space="0"/>
              <w:bottom w:val="nil"/>
              <w:right w:val="single" w:color="000000" w:sz="4" w:space="0"/>
            </w:tcBorders>
            <w:shd w:val="clear" w:color="auto" w:fill="auto"/>
            <w:vAlign w:val="center"/>
          </w:tcPr>
          <w:p w14:paraId="707AB5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151200</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58855F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633" w:type="dxa"/>
            <w:tcBorders>
              <w:top w:val="single" w:color="000000" w:sz="4" w:space="0"/>
              <w:left w:val="single" w:color="000000" w:sz="4" w:space="0"/>
              <w:bottom w:val="nil"/>
              <w:right w:val="single" w:color="000000" w:sz="4" w:space="0"/>
            </w:tcBorders>
            <w:shd w:val="clear" w:color="auto" w:fill="auto"/>
            <w:vAlign w:val="center"/>
          </w:tcPr>
          <w:p w14:paraId="4A85D4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42A5ED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70C308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33" w:type="dxa"/>
            <w:tcBorders>
              <w:top w:val="single" w:color="000000" w:sz="4" w:space="0"/>
              <w:left w:val="single" w:color="000000" w:sz="4" w:space="0"/>
              <w:bottom w:val="nil"/>
              <w:right w:val="single" w:color="000000" w:sz="4" w:space="0"/>
            </w:tcBorders>
            <w:shd w:val="clear" w:color="auto" w:fill="auto"/>
            <w:vAlign w:val="center"/>
          </w:tcPr>
          <w:p w14:paraId="4D39C066">
            <w:pPr>
              <w:jc w:val="center"/>
              <w:rPr>
                <w:rFonts w:hint="eastAsia" w:ascii="宋体" w:hAnsi="宋体" w:eastAsia="宋体" w:cs="宋体"/>
                <w:i w:val="0"/>
                <w:iCs w:val="0"/>
                <w:color w:val="000000"/>
                <w:sz w:val="18"/>
                <w:szCs w:val="18"/>
                <w:u w:val="none"/>
              </w:rPr>
            </w:pPr>
          </w:p>
        </w:tc>
      </w:tr>
      <w:tr w14:paraId="71D65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733" w:type="dxa"/>
            <w:vMerge w:val="continue"/>
            <w:tcBorders>
              <w:top w:val="single" w:color="000000" w:sz="4" w:space="0"/>
              <w:left w:val="single" w:color="000000" w:sz="4" w:space="0"/>
              <w:bottom w:val="nil"/>
              <w:right w:val="single" w:color="000000" w:sz="4" w:space="0"/>
            </w:tcBorders>
            <w:shd w:val="clear" w:color="auto" w:fill="auto"/>
            <w:vAlign w:val="center"/>
          </w:tcPr>
          <w:p w14:paraId="24574C72">
            <w:pPr>
              <w:jc w:val="center"/>
              <w:rPr>
                <w:rFonts w:hint="eastAsia" w:ascii="宋体" w:hAnsi="宋体" w:eastAsia="宋体" w:cs="宋体"/>
                <w:i w:val="0"/>
                <w:iCs w:val="0"/>
                <w:color w:val="000000"/>
                <w:sz w:val="18"/>
                <w:szCs w:val="18"/>
                <w:u w:val="none"/>
              </w:rPr>
            </w:pPr>
          </w:p>
        </w:tc>
        <w:tc>
          <w:tcPr>
            <w:tcW w:w="449" w:type="dxa"/>
            <w:vMerge w:val="continue"/>
            <w:tcBorders>
              <w:top w:val="single" w:color="000000" w:sz="4" w:space="0"/>
              <w:left w:val="single" w:color="000000" w:sz="4" w:space="0"/>
              <w:bottom w:val="nil"/>
              <w:right w:val="single" w:color="000000" w:sz="4" w:space="0"/>
            </w:tcBorders>
            <w:shd w:val="clear" w:color="auto" w:fill="auto"/>
            <w:vAlign w:val="center"/>
          </w:tcPr>
          <w:p w14:paraId="19406FD8">
            <w:pPr>
              <w:jc w:val="center"/>
              <w:rPr>
                <w:rFonts w:hint="eastAsia" w:ascii="宋体" w:hAnsi="宋体" w:eastAsia="宋体" w:cs="宋体"/>
                <w:i w:val="0"/>
                <w:iCs w:val="0"/>
                <w:color w:val="000000"/>
                <w:sz w:val="18"/>
                <w:szCs w:val="18"/>
                <w:u w:val="none"/>
              </w:rPr>
            </w:pPr>
          </w:p>
        </w:tc>
        <w:tc>
          <w:tcPr>
            <w:tcW w:w="833" w:type="dxa"/>
            <w:vMerge w:val="continue"/>
            <w:tcBorders>
              <w:top w:val="single" w:color="000000" w:sz="4" w:space="0"/>
              <w:left w:val="single" w:color="000000" w:sz="4" w:space="0"/>
              <w:bottom w:val="nil"/>
              <w:right w:val="single" w:color="000000" w:sz="4" w:space="0"/>
            </w:tcBorders>
            <w:shd w:val="clear" w:color="auto" w:fill="auto"/>
            <w:vAlign w:val="center"/>
          </w:tcPr>
          <w:p w14:paraId="06247BDA">
            <w:pPr>
              <w:jc w:val="center"/>
              <w:rPr>
                <w:rFonts w:hint="eastAsia" w:ascii="宋体" w:hAnsi="宋体" w:eastAsia="宋体" w:cs="宋体"/>
                <w:i w:val="0"/>
                <w:iCs w:val="0"/>
                <w:color w:val="000000"/>
                <w:sz w:val="18"/>
                <w:szCs w:val="18"/>
                <w:u w:val="none"/>
              </w:rPr>
            </w:pPr>
          </w:p>
        </w:tc>
        <w:tc>
          <w:tcPr>
            <w:tcW w:w="1400" w:type="dxa"/>
            <w:tcBorders>
              <w:top w:val="single" w:color="000000" w:sz="4" w:space="0"/>
              <w:left w:val="single" w:color="000000" w:sz="4" w:space="0"/>
              <w:bottom w:val="nil"/>
              <w:right w:val="single" w:color="000000" w:sz="4" w:space="0"/>
            </w:tcBorders>
            <w:shd w:val="clear" w:color="auto" w:fill="auto"/>
            <w:vAlign w:val="center"/>
          </w:tcPr>
          <w:p w14:paraId="6E47E0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人均补助金额成本</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290151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682" w:type="dxa"/>
            <w:tcBorders>
              <w:top w:val="single" w:color="000000" w:sz="4" w:space="0"/>
              <w:left w:val="single" w:color="000000" w:sz="4" w:space="0"/>
              <w:bottom w:val="nil"/>
              <w:right w:val="single" w:color="000000" w:sz="4" w:space="0"/>
            </w:tcBorders>
            <w:shd w:val="clear" w:color="auto" w:fill="auto"/>
            <w:vAlign w:val="center"/>
          </w:tcPr>
          <w:p w14:paraId="3907FD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766" w:type="dxa"/>
            <w:tcBorders>
              <w:top w:val="single" w:color="000000" w:sz="4" w:space="0"/>
              <w:left w:val="single" w:color="000000" w:sz="4" w:space="0"/>
              <w:bottom w:val="nil"/>
              <w:right w:val="single" w:color="000000" w:sz="4" w:space="0"/>
            </w:tcBorders>
            <w:shd w:val="clear" w:color="auto" w:fill="auto"/>
            <w:vAlign w:val="center"/>
          </w:tcPr>
          <w:p w14:paraId="0D34D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5400</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41BA8F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633" w:type="dxa"/>
            <w:tcBorders>
              <w:top w:val="single" w:color="000000" w:sz="4" w:space="0"/>
              <w:left w:val="single" w:color="000000" w:sz="4" w:space="0"/>
              <w:bottom w:val="nil"/>
              <w:right w:val="single" w:color="000000" w:sz="4" w:space="0"/>
            </w:tcBorders>
            <w:shd w:val="clear" w:color="auto" w:fill="auto"/>
            <w:vAlign w:val="center"/>
          </w:tcPr>
          <w:p w14:paraId="3CE299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5FE7E9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40A9CB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33" w:type="dxa"/>
            <w:tcBorders>
              <w:top w:val="single" w:color="000000" w:sz="4" w:space="0"/>
              <w:left w:val="single" w:color="000000" w:sz="4" w:space="0"/>
              <w:bottom w:val="nil"/>
              <w:right w:val="single" w:color="000000" w:sz="4" w:space="0"/>
            </w:tcBorders>
            <w:shd w:val="clear" w:color="auto" w:fill="auto"/>
            <w:vAlign w:val="center"/>
          </w:tcPr>
          <w:p w14:paraId="3A2AE970">
            <w:pPr>
              <w:jc w:val="center"/>
              <w:rPr>
                <w:rFonts w:hint="eastAsia" w:ascii="宋体" w:hAnsi="宋体" w:eastAsia="宋体" w:cs="宋体"/>
                <w:i w:val="0"/>
                <w:iCs w:val="0"/>
                <w:color w:val="000000"/>
                <w:sz w:val="18"/>
                <w:szCs w:val="18"/>
                <w:u w:val="none"/>
              </w:rPr>
            </w:pPr>
          </w:p>
        </w:tc>
      </w:tr>
      <w:tr w14:paraId="29451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733" w:type="dxa"/>
            <w:vMerge w:val="continue"/>
            <w:tcBorders>
              <w:top w:val="single" w:color="000000" w:sz="4" w:space="0"/>
              <w:left w:val="single" w:color="000000" w:sz="4" w:space="0"/>
              <w:bottom w:val="nil"/>
              <w:right w:val="single" w:color="000000" w:sz="4" w:space="0"/>
            </w:tcBorders>
            <w:shd w:val="clear" w:color="auto" w:fill="auto"/>
            <w:vAlign w:val="center"/>
          </w:tcPr>
          <w:p w14:paraId="09AE1997">
            <w:pPr>
              <w:jc w:val="center"/>
              <w:rPr>
                <w:rFonts w:hint="eastAsia" w:ascii="宋体" w:hAnsi="宋体" w:eastAsia="宋体" w:cs="宋体"/>
                <w:i w:val="0"/>
                <w:iCs w:val="0"/>
                <w:color w:val="000000"/>
                <w:sz w:val="18"/>
                <w:szCs w:val="18"/>
                <w:u w:val="none"/>
              </w:rPr>
            </w:pPr>
          </w:p>
        </w:tc>
        <w:tc>
          <w:tcPr>
            <w:tcW w:w="449" w:type="dxa"/>
            <w:vMerge w:val="restart"/>
            <w:tcBorders>
              <w:top w:val="single" w:color="000000" w:sz="4" w:space="0"/>
              <w:left w:val="single" w:color="000000" w:sz="4" w:space="0"/>
              <w:bottom w:val="nil"/>
              <w:right w:val="single" w:color="000000" w:sz="4" w:space="0"/>
            </w:tcBorders>
            <w:shd w:val="clear" w:color="auto" w:fill="auto"/>
            <w:vAlign w:val="center"/>
          </w:tcPr>
          <w:p w14:paraId="0CC53D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833" w:type="dxa"/>
            <w:tcBorders>
              <w:top w:val="single" w:color="000000" w:sz="4" w:space="0"/>
              <w:left w:val="single" w:color="000000" w:sz="4" w:space="0"/>
              <w:bottom w:val="nil"/>
              <w:right w:val="single" w:color="000000" w:sz="4" w:space="0"/>
            </w:tcBorders>
            <w:shd w:val="clear" w:color="auto" w:fill="auto"/>
            <w:vAlign w:val="center"/>
          </w:tcPr>
          <w:p w14:paraId="25CBE7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p>
        </w:tc>
        <w:tc>
          <w:tcPr>
            <w:tcW w:w="1400" w:type="dxa"/>
            <w:tcBorders>
              <w:top w:val="single" w:color="000000" w:sz="4" w:space="0"/>
              <w:left w:val="single" w:color="000000" w:sz="4" w:space="0"/>
              <w:bottom w:val="nil"/>
              <w:right w:val="single" w:color="000000" w:sz="4" w:space="0"/>
            </w:tcBorders>
            <w:shd w:val="clear" w:color="auto" w:fill="auto"/>
            <w:vAlign w:val="center"/>
          </w:tcPr>
          <w:p w14:paraId="569608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提高被审计单位的管理水平</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7A1F44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82" w:type="dxa"/>
            <w:tcBorders>
              <w:top w:val="single" w:color="000000" w:sz="4" w:space="0"/>
              <w:left w:val="single" w:color="000000" w:sz="4" w:space="0"/>
              <w:bottom w:val="nil"/>
              <w:right w:val="single" w:color="000000" w:sz="4" w:space="0"/>
            </w:tcBorders>
            <w:shd w:val="clear" w:color="auto" w:fill="auto"/>
            <w:vAlign w:val="center"/>
          </w:tcPr>
          <w:p w14:paraId="1C2CBA6F">
            <w:pPr>
              <w:jc w:val="center"/>
              <w:rPr>
                <w:rFonts w:hint="eastAsia" w:ascii="宋体" w:hAnsi="宋体" w:eastAsia="宋体" w:cs="宋体"/>
                <w:i w:val="0"/>
                <w:iCs w:val="0"/>
                <w:color w:val="000000"/>
                <w:sz w:val="18"/>
                <w:szCs w:val="18"/>
                <w:u w:val="none"/>
              </w:rPr>
            </w:pPr>
          </w:p>
        </w:tc>
        <w:tc>
          <w:tcPr>
            <w:tcW w:w="766" w:type="dxa"/>
            <w:tcBorders>
              <w:top w:val="single" w:color="000000" w:sz="4" w:space="0"/>
              <w:left w:val="single" w:color="000000" w:sz="4" w:space="0"/>
              <w:bottom w:val="nil"/>
              <w:right w:val="single" w:color="000000" w:sz="4" w:space="0"/>
            </w:tcBorders>
            <w:shd w:val="clear" w:color="auto" w:fill="auto"/>
            <w:vAlign w:val="center"/>
          </w:tcPr>
          <w:p w14:paraId="5047A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有效提高</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15FA33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633" w:type="dxa"/>
            <w:tcBorders>
              <w:top w:val="single" w:color="000000" w:sz="4" w:space="0"/>
              <w:left w:val="single" w:color="000000" w:sz="4" w:space="0"/>
              <w:bottom w:val="nil"/>
              <w:right w:val="single" w:color="000000" w:sz="4" w:space="0"/>
            </w:tcBorders>
            <w:shd w:val="clear" w:color="auto" w:fill="auto"/>
            <w:vAlign w:val="center"/>
          </w:tcPr>
          <w:p w14:paraId="77DAE1EF">
            <w:pPr>
              <w:jc w:val="center"/>
              <w:rPr>
                <w:rFonts w:hint="eastAsia" w:ascii="宋体" w:hAnsi="宋体" w:eastAsia="宋体" w:cs="宋体"/>
                <w:i w:val="0"/>
                <w:iCs w:val="0"/>
                <w:color w:val="000000"/>
                <w:sz w:val="18"/>
                <w:szCs w:val="18"/>
                <w:u w:val="none"/>
              </w:rPr>
            </w:pPr>
          </w:p>
        </w:tc>
        <w:tc>
          <w:tcPr>
            <w:tcW w:w="549" w:type="dxa"/>
            <w:tcBorders>
              <w:top w:val="single" w:color="000000" w:sz="4" w:space="0"/>
              <w:left w:val="single" w:color="000000" w:sz="4" w:space="0"/>
              <w:bottom w:val="nil"/>
              <w:right w:val="single" w:color="000000" w:sz="4" w:space="0"/>
            </w:tcBorders>
            <w:shd w:val="clear" w:color="auto" w:fill="auto"/>
            <w:vAlign w:val="center"/>
          </w:tcPr>
          <w:p w14:paraId="1522AF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2522EB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33" w:type="dxa"/>
            <w:tcBorders>
              <w:top w:val="single" w:color="000000" w:sz="4" w:space="0"/>
              <w:left w:val="single" w:color="000000" w:sz="4" w:space="0"/>
              <w:bottom w:val="nil"/>
              <w:right w:val="single" w:color="000000" w:sz="4" w:space="0"/>
            </w:tcBorders>
            <w:shd w:val="clear" w:color="auto" w:fill="auto"/>
            <w:vAlign w:val="center"/>
          </w:tcPr>
          <w:p w14:paraId="454DABE8">
            <w:pPr>
              <w:jc w:val="center"/>
              <w:rPr>
                <w:rFonts w:hint="eastAsia" w:ascii="宋体" w:hAnsi="宋体" w:eastAsia="宋体" w:cs="宋体"/>
                <w:i w:val="0"/>
                <w:iCs w:val="0"/>
                <w:color w:val="000000"/>
                <w:sz w:val="18"/>
                <w:szCs w:val="18"/>
                <w:u w:val="none"/>
              </w:rPr>
            </w:pPr>
          </w:p>
        </w:tc>
      </w:tr>
      <w:tr w14:paraId="23306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733" w:type="dxa"/>
            <w:vMerge w:val="continue"/>
            <w:tcBorders>
              <w:top w:val="single" w:color="000000" w:sz="4" w:space="0"/>
              <w:left w:val="single" w:color="000000" w:sz="4" w:space="0"/>
              <w:bottom w:val="nil"/>
              <w:right w:val="single" w:color="000000" w:sz="4" w:space="0"/>
            </w:tcBorders>
            <w:shd w:val="clear" w:color="auto" w:fill="auto"/>
            <w:vAlign w:val="center"/>
          </w:tcPr>
          <w:p w14:paraId="5AB1DF6F">
            <w:pPr>
              <w:jc w:val="center"/>
              <w:rPr>
                <w:rFonts w:hint="eastAsia" w:ascii="宋体" w:hAnsi="宋体" w:eastAsia="宋体" w:cs="宋体"/>
                <w:i w:val="0"/>
                <w:iCs w:val="0"/>
                <w:color w:val="000000"/>
                <w:sz w:val="18"/>
                <w:szCs w:val="18"/>
                <w:u w:val="none"/>
              </w:rPr>
            </w:pPr>
          </w:p>
        </w:tc>
        <w:tc>
          <w:tcPr>
            <w:tcW w:w="449" w:type="dxa"/>
            <w:vMerge w:val="continue"/>
            <w:tcBorders>
              <w:top w:val="single" w:color="000000" w:sz="4" w:space="0"/>
              <w:left w:val="single" w:color="000000" w:sz="4" w:space="0"/>
              <w:bottom w:val="nil"/>
              <w:right w:val="single" w:color="000000" w:sz="4" w:space="0"/>
            </w:tcBorders>
            <w:shd w:val="clear" w:color="auto" w:fill="auto"/>
            <w:vAlign w:val="center"/>
          </w:tcPr>
          <w:p w14:paraId="7F08C258">
            <w:pPr>
              <w:jc w:val="center"/>
              <w:rPr>
                <w:rFonts w:hint="eastAsia" w:ascii="宋体" w:hAnsi="宋体" w:eastAsia="宋体" w:cs="宋体"/>
                <w:i w:val="0"/>
                <w:iCs w:val="0"/>
                <w:color w:val="000000"/>
                <w:sz w:val="18"/>
                <w:szCs w:val="18"/>
                <w:u w:val="none"/>
              </w:rPr>
            </w:pPr>
          </w:p>
        </w:tc>
        <w:tc>
          <w:tcPr>
            <w:tcW w:w="833" w:type="dxa"/>
            <w:tcBorders>
              <w:top w:val="single" w:color="000000" w:sz="4" w:space="0"/>
              <w:left w:val="single" w:color="000000" w:sz="4" w:space="0"/>
              <w:bottom w:val="nil"/>
              <w:right w:val="single" w:color="000000" w:sz="4" w:space="0"/>
            </w:tcBorders>
            <w:shd w:val="clear" w:color="auto" w:fill="auto"/>
            <w:vAlign w:val="center"/>
          </w:tcPr>
          <w:p w14:paraId="3FF87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w:t>
            </w:r>
          </w:p>
        </w:tc>
        <w:tc>
          <w:tcPr>
            <w:tcW w:w="1400" w:type="dxa"/>
            <w:tcBorders>
              <w:top w:val="single" w:color="000000" w:sz="4" w:space="0"/>
              <w:left w:val="single" w:color="000000" w:sz="4" w:space="0"/>
              <w:bottom w:val="nil"/>
              <w:right w:val="single" w:color="000000" w:sz="4" w:space="0"/>
            </w:tcBorders>
            <w:shd w:val="clear" w:color="auto" w:fill="auto"/>
            <w:vAlign w:val="center"/>
          </w:tcPr>
          <w:p w14:paraId="19E1C8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提高被审计单位业务的合法合规性</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486227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682" w:type="dxa"/>
            <w:tcBorders>
              <w:top w:val="single" w:color="000000" w:sz="4" w:space="0"/>
              <w:left w:val="single" w:color="000000" w:sz="4" w:space="0"/>
              <w:bottom w:val="nil"/>
              <w:right w:val="single" w:color="000000" w:sz="4" w:space="0"/>
            </w:tcBorders>
            <w:shd w:val="clear" w:color="auto" w:fill="auto"/>
            <w:vAlign w:val="center"/>
          </w:tcPr>
          <w:p w14:paraId="5A2A3059">
            <w:pPr>
              <w:jc w:val="center"/>
              <w:rPr>
                <w:rFonts w:hint="eastAsia" w:ascii="宋体" w:hAnsi="宋体" w:eastAsia="宋体" w:cs="宋体"/>
                <w:i w:val="0"/>
                <w:iCs w:val="0"/>
                <w:color w:val="000000"/>
                <w:sz w:val="18"/>
                <w:szCs w:val="18"/>
                <w:u w:val="none"/>
              </w:rPr>
            </w:pPr>
          </w:p>
        </w:tc>
        <w:tc>
          <w:tcPr>
            <w:tcW w:w="766" w:type="dxa"/>
            <w:tcBorders>
              <w:top w:val="single" w:color="000000" w:sz="4" w:space="0"/>
              <w:left w:val="single" w:color="000000" w:sz="4" w:space="0"/>
              <w:bottom w:val="nil"/>
              <w:right w:val="single" w:color="000000" w:sz="4" w:space="0"/>
            </w:tcBorders>
            <w:shd w:val="clear" w:color="auto" w:fill="auto"/>
            <w:vAlign w:val="center"/>
          </w:tcPr>
          <w:p w14:paraId="4F9587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显著提高</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26CDA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633" w:type="dxa"/>
            <w:tcBorders>
              <w:top w:val="single" w:color="000000" w:sz="4" w:space="0"/>
              <w:left w:val="single" w:color="000000" w:sz="4" w:space="0"/>
              <w:bottom w:val="nil"/>
              <w:right w:val="single" w:color="000000" w:sz="4" w:space="0"/>
            </w:tcBorders>
            <w:shd w:val="clear" w:color="auto" w:fill="auto"/>
            <w:vAlign w:val="center"/>
          </w:tcPr>
          <w:p w14:paraId="12ECE68E">
            <w:pPr>
              <w:jc w:val="center"/>
              <w:rPr>
                <w:rFonts w:hint="eastAsia" w:ascii="宋体" w:hAnsi="宋体" w:eastAsia="宋体" w:cs="宋体"/>
                <w:i w:val="0"/>
                <w:iCs w:val="0"/>
                <w:color w:val="000000"/>
                <w:sz w:val="18"/>
                <w:szCs w:val="18"/>
                <w:u w:val="none"/>
              </w:rPr>
            </w:pPr>
          </w:p>
        </w:tc>
        <w:tc>
          <w:tcPr>
            <w:tcW w:w="549" w:type="dxa"/>
            <w:tcBorders>
              <w:top w:val="single" w:color="000000" w:sz="4" w:space="0"/>
              <w:left w:val="single" w:color="000000" w:sz="4" w:space="0"/>
              <w:bottom w:val="nil"/>
              <w:right w:val="single" w:color="000000" w:sz="4" w:space="0"/>
            </w:tcBorders>
            <w:shd w:val="clear" w:color="auto" w:fill="auto"/>
            <w:vAlign w:val="center"/>
          </w:tcPr>
          <w:p w14:paraId="1D9621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67A637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833" w:type="dxa"/>
            <w:tcBorders>
              <w:top w:val="single" w:color="000000" w:sz="4" w:space="0"/>
              <w:left w:val="single" w:color="000000" w:sz="4" w:space="0"/>
              <w:bottom w:val="nil"/>
              <w:right w:val="single" w:color="000000" w:sz="4" w:space="0"/>
            </w:tcBorders>
            <w:shd w:val="clear" w:color="auto" w:fill="auto"/>
            <w:vAlign w:val="center"/>
          </w:tcPr>
          <w:p w14:paraId="67F73EB6">
            <w:pPr>
              <w:jc w:val="center"/>
              <w:rPr>
                <w:rFonts w:hint="eastAsia" w:ascii="宋体" w:hAnsi="宋体" w:eastAsia="宋体" w:cs="宋体"/>
                <w:i w:val="0"/>
                <w:iCs w:val="0"/>
                <w:color w:val="000000"/>
                <w:sz w:val="18"/>
                <w:szCs w:val="18"/>
                <w:u w:val="none"/>
              </w:rPr>
            </w:pPr>
          </w:p>
        </w:tc>
      </w:tr>
      <w:tr w14:paraId="32CA6D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733" w:type="dxa"/>
            <w:vMerge w:val="continue"/>
            <w:tcBorders>
              <w:top w:val="single" w:color="000000" w:sz="4" w:space="0"/>
              <w:left w:val="single" w:color="000000" w:sz="4" w:space="0"/>
              <w:bottom w:val="nil"/>
              <w:right w:val="single" w:color="000000" w:sz="4" w:space="0"/>
            </w:tcBorders>
            <w:shd w:val="clear" w:color="auto" w:fill="auto"/>
            <w:vAlign w:val="center"/>
          </w:tcPr>
          <w:p w14:paraId="27F53146">
            <w:pPr>
              <w:jc w:val="center"/>
              <w:rPr>
                <w:rFonts w:hint="eastAsia" w:ascii="宋体" w:hAnsi="宋体" w:eastAsia="宋体" w:cs="宋体"/>
                <w:i w:val="0"/>
                <w:iCs w:val="0"/>
                <w:color w:val="000000"/>
                <w:sz w:val="18"/>
                <w:szCs w:val="18"/>
                <w:u w:val="none"/>
              </w:rPr>
            </w:pPr>
          </w:p>
        </w:tc>
        <w:tc>
          <w:tcPr>
            <w:tcW w:w="449" w:type="dxa"/>
            <w:tcBorders>
              <w:top w:val="single" w:color="000000" w:sz="4" w:space="0"/>
              <w:left w:val="single" w:color="000000" w:sz="4" w:space="0"/>
              <w:bottom w:val="nil"/>
              <w:right w:val="single" w:color="000000" w:sz="4" w:space="0"/>
            </w:tcBorders>
            <w:shd w:val="clear" w:color="auto" w:fill="auto"/>
            <w:vAlign w:val="center"/>
          </w:tcPr>
          <w:p w14:paraId="2EF13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833" w:type="dxa"/>
            <w:tcBorders>
              <w:top w:val="single" w:color="000000" w:sz="4" w:space="0"/>
              <w:left w:val="single" w:color="000000" w:sz="4" w:space="0"/>
              <w:bottom w:val="nil"/>
              <w:right w:val="single" w:color="000000" w:sz="4" w:space="0"/>
            </w:tcBorders>
            <w:shd w:val="clear" w:color="auto" w:fill="auto"/>
            <w:vAlign w:val="center"/>
          </w:tcPr>
          <w:p w14:paraId="4959E1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400" w:type="dxa"/>
            <w:tcBorders>
              <w:top w:val="single" w:color="000000" w:sz="4" w:space="0"/>
              <w:left w:val="single" w:color="000000" w:sz="4" w:space="0"/>
              <w:bottom w:val="nil"/>
              <w:right w:val="single" w:color="000000" w:sz="4" w:space="0"/>
            </w:tcBorders>
            <w:shd w:val="clear" w:color="auto" w:fill="auto"/>
            <w:vAlign w:val="center"/>
          </w:tcPr>
          <w:p w14:paraId="281D11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审计人员对业务补助金额满意度</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0B473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682" w:type="dxa"/>
            <w:tcBorders>
              <w:top w:val="single" w:color="000000" w:sz="4" w:space="0"/>
              <w:left w:val="single" w:color="000000" w:sz="4" w:space="0"/>
              <w:bottom w:val="nil"/>
              <w:right w:val="single" w:color="000000" w:sz="4" w:space="0"/>
            </w:tcBorders>
            <w:shd w:val="clear" w:color="auto" w:fill="auto"/>
            <w:vAlign w:val="center"/>
          </w:tcPr>
          <w:p w14:paraId="028C1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766" w:type="dxa"/>
            <w:tcBorders>
              <w:top w:val="single" w:color="000000" w:sz="4" w:space="0"/>
              <w:left w:val="single" w:color="000000" w:sz="4" w:space="0"/>
              <w:bottom w:val="nil"/>
              <w:right w:val="single" w:color="000000" w:sz="4" w:space="0"/>
            </w:tcBorders>
            <w:shd w:val="clear" w:color="auto" w:fill="auto"/>
            <w:vAlign w:val="center"/>
          </w:tcPr>
          <w:p w14:paraId="0F9974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09A3FE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633" w:type="dxa"/>
            <w:tcBorders>
              <w:top w:val="single" w:color="000000" w:sz="4" w:space="0"/>
              <w:left w:val="single" w:color="000000" w:sz="4" w:space="0"/>
              <w:bottom w:val="nil"/>
              <w:right w:val="single" w:color="000000" w:sz="4" w:space="0"/>
            </w:tcBorders>
            <w:shd w:val="clear" w:color="auto" w:fill="auto"/>
            <w:vAlign w:val="center"/>
          </w:tcPr>
          <w:p w14:paraId="230E0D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1014C3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00" w:type="dxa"/>
            <w:tcBorders>
              <w:top w:val="single" w:color="000000" w:sz="4" w:space="0"/>
              <w:left w:val="single" w:color="000000" w:sz="4" w:space="0"/>
              <w:bottom w:val="nil"/>
              <w:right w:val="single" w:color="000000" w:sz="4" w:space="0"/>
            </w:tcBorders>
            <w:shd w:val="clear" w:color="auto" w:fill="auto"/>
            <w:vAlign w:val="center"/>
          </w:tcPr>
          <w:p w14:paraId="023D35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33" w:type="dxa"/>
            <w:tcBorders>
              <w:top w:val="single" w:color="000000" w:sz="4" w:space="0"/>
              <w:left w:val="single" w:color="000000" w:sz="4" w:space="0"/>
              <w:bottom w:val="nil"/>
              <w:right w:val="single" w:color="000000" w:sz="4" w:space="0"/>
            </w:tcBorders>
            <w:shd w:val="clear" w:color="auto" w:fill="auto"/>
            <w:vAlign w:val="center"/>
          </w:tcPr>
          <w:p w14:paraId="3E562E5A">
            <w:pPr>
              <w:jc w:val="center"/>
              <w:rPr>
                <w:rFonts w:hint="eastAsia" w:ascii="宋体" w:hAnsi="宋体" w:eastAsia="宋体" w:cs="宋体"/>
                <w:i w:val="0"/>
                <w:iCs w:val="0"/>
                <w:color w:val="000000"/>
                <w:sz w:val="18"/>
                <w:szCs w:val="18"/>
                <w:u w:val="none"/>
              </w:rPr>
            </w:pPr>
          </w:p>
        </w:tc>
      </w:tr>
      <w:tr w14:paraId="45F03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978"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0116B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EB1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772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8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6F05B">
            <w:pPr>
              <w:jc w:val="center"/>
              <w:rPr>
                <w:rFonts w:hint="eastAsia" w:ascii="宋体" w:hAnsi="宋体" w:eastAsia="宋体" w:cs="宋体"/>
                <w:i w:val="0"/>
                <w:iCs w:val="0"/>
                <w:color w:val="000000"/>
                <w:sz w:val="18"/>
                <w:szCs w:val="18"/>
                <w:u w:val="none"/>
              </w:rPr>
            </w:pPr>
          </w:p>
        </w:tc>
      </w:tr>
    </w:tbl>
    <w:p w14:paraId="3D335393">
      <w:pPr>
        <w:pStyle w:val="28"/>
        <w:widowControl/>
        <w:spacing w:before="240" w:after="240" w:line="560" w:lineRule="atLeast"/>
        <w:ind w:firstLine="640"/>
        <w:jc w:val="left"/>
        <w:rPr>
          <w:rFonts w:hint="eastAsia" w:ascii="FangSong_GB2312" w:hAnsi="FangSong_GB2312" w:eastAsia="FangSong_GB2312" w:cs="FangSong_GB2312"/>
          <w:color w:val="auto"/>
          <w:kern w:val="0"/>
          <w:sz w:val="32"/>
          <w:szCs w:val="32"/>
          <w:lang w:eastAsia="zh-CN"/>
        </w:rPr>
      </w:pPr>
    </w:p>
    <w:p w14:paraId="3B2C4A78">
      <w:pPr>
        <w:pStyle w:val="28"/>
        <w:widowControl/>
        <w:spacing w:before="240" w:after="240" w:line="560" w:lineRule="atLeast"/>
        <w:ind w:firstLine="640"/>
        <w:jc w:val="left"/>
        <w:rPr>
          <w:rFonts w:hint="eastAsia" w:ascii="FangSong_GB2312" w:hAnsi="FangSong_GB2312" w:eastAsia="FangSong_GB2312" w:cs="FangSong_GB2312"/>
          <w:color w:val="auto"/>
          <w:kern w:val="0"/>
          <w:sz w:val="32"/>
          <w:szCs w:val="32"/>
          <w:lang w:eastAsia="zh-CN"/>
        </w:rPr>
      </w:pPr>
    </w:p>
    <w:tbl>
      <w:tblPr>
        <w:tblStyle w:val="18"/>
        <w:tblW w:w="89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1"/>
        <w:gridCol w:w="732"/>
        <w:gridCol w:w="689"/>
        <w:gridCol w:w="974"/>
        <w:gridCol w:w="852"/>
        <w:gridCol w:w="807"/>
        <w:gridCol w:w="852"/>
        <w:gridCol w:w="641"/>
        <w:gridCol w:w="596"/>
        <w:gridCol w:w="528"/>
        <w:gridCol w:w="756"/>
        <w:gridCol w:w="917"/>
      </w:tblGrid>
      <w:tr w14:paraId="0537F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896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72B07976">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14:paraId="48907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3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7B98E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756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E59492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委托服务费</w:t>
            </w:r>
          </w:p>
        </w:tc>
      </w:tr>
      <w:tr w14:paraId="47080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3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9AADF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48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576BD9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赤峰市松山区审计局（部门）</w:t>
            </w:r>
          </w:p>
        </w:tc>
        <w:tc>
          <w:tcPr>
            <w:tcW w:w="1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35D6F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251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BD4A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赤峰市松山区审计局</w:t>
            </w:r>
          </w:p>
        </w:tc>
      </w:tr>
      <w:tr w14:paraId="71F3C1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39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6B15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C24C1">
            <w:pPr>
              <w:rPr>
                <w:rFonts w:hint="eastAsia" w:ascii="宋体" w:hAnsi="宋体" w:eastAsia="宋体" w:cs="宋体"/>
                <w:i w:val="0"/>
                <w:iCs w:val="0"/>
                <w:color w:val="000000"/>
                <w:sz w:val="18"/>
                <w:szCs w:val="18"/>
                <w:u w:val="none"/>
              </w:rPr>
            </w:pP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0F0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7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7C2C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EC1EC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F9B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A37E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D1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7B980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3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F331CF">
            <w:pPr>
              <w:jc w:val="center"/>
              <w:rPr>
                <w:rFonts w:hint="eastAsia" w:ascii="宋体" w:hAnsi="宋体" w:eastAsia="宋体" w:cs="宋体"/>
                <w:i w:val="0"/>
                <w:iCs w:val="0"/>
                <w:color w:val="000000"/>
                <w:sz w:val="18"/>
                <w:szCs w:val="18"/>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894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3F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7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89F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11.54</w:t>
            </w:r>
          </w:p>
        </w:tc>
        <w:tc>
          <w:tcPr>
            <w:tcW w:w="1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7A26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11.54</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9A0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7D5F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761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289C4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3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02748">
            <w:pPr>
              <w:jc w:val="center"/>
              <w:rPr>
                <w:rFonts w:hint="eastAsia" w:ascii="宋体" w:hAnsi="宋体" w:eastAsia="宋体" w:cs="宋体"/>
                <w:i w:val="0"/>
                <w:iCs w:val="0"/>
                <w:color w:val="000000"/>
                <w:sz w:val="18"/>
                <w:szCs w:val="18"/>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D4A9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8FF3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17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5E1A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11.54</w:t>
            </w:r>
          </w:p>
        </w:tc>
        <w:tc>
          <w:tcPr>
            <w:tcW w:w="1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D3F38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11.54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1D29F">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3CB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34D95">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43965B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3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AA8829">
            <w:pPr>
              <w:jc w:val="center"/>
              <w:rPr>
                <w:rFonts w:hint="eastAsia" w:ascii="宋体" w:hAnsi="宋体" w:eastAsia="宋体" w:cs="宋体"/>
                <w:i w:val="0"/>
                <w:iCs w:val="0"/>
                <w:color w:val="000000"/>
                <w:sz w:val="18"/>
                <w:szCs w:val="18"/>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133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82CA1">
            <w:pPr>
              <w:rPr>
                <w:rFonts w:hint="eastAsia" w:ascii="宋体" w:hAnsi="宋体" w:eastAsia="宋体" w:cs="宋体"/>
                <w:i w:val="0"/>
                <w:iCs w:val="0"/>
                <w:color w:val="000000"/>
                <w:sz w:val="18"/>
                <w:szCs w:val="18"/>
                <w:u w:val="none"/>
              </w:rPr>
            </w:pPr>
          </w:p>
        </w:tc>
        <w:tc>
          <w:tcPr>
            <w:tcW w:w="17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E246AF">
            <w:pPr>
              <w:jc w:val="center"/>
              <w:rPr>
                <w:rFonts w:hint="eastAsia" w:ascii="宋体" w:hAnsi="宋体" w:eastAsia="宋体" w:cs="宋体"/>
                <w:i w:val="0"/>
                <w:iCs w:val="0"/>
                <w:color w:val="000000"/>
                <w:sz w:val="18"/>
                <w:szCs w:val="18"/>
                <w:u w:val="none"/>
              </w:rPr>
            </w:pPr>
          </w:p>
        </w:tc>
        <w:tc>
          <w:tcPr>
            <w:tcW w:w="1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DC7054">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36B84">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AE5CF8">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DA242">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33964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3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9ACDCF">
            <w:pPr>
              <w:jc w:val="center"/>
              <w:rPr>
                <w:rFonts w:hint="eastAsia" w:ascii="宋体" w:hAnsi="宋体" w:eastAsia="宋体" w:cs="宋体"/>
                <w:i w:val="0"/>
                <w:iCs w:val="0"/>
                <w:color w:val="000000"/>
                <w:sz w:val="18"/>
                <w:szCs w:val="18"/>
                <w:u w:val="none"/>
              </w:rPr>
            </w:pP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013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237C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7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1355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5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262EB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2E35F">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101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7809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7C07D">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5EF4B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399"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1B87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3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1B2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1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3982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467360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1399"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187B7">
            <w:pPr>
              <w:jc w:val="center"/>
              <w:rPr>
                <w:rFonts w:hint="eastAsia" w:ascii="宋体" w:hAnsi="宋体" w:eastAsia="宋体" w:cs="宋体"/>
                <w:i w:val="0"/>
                <w:iCs w:val="0"/>
                <w:color w:val="000000"/>
                <w:sz w:val="18"/>
                <w:szCs w:val="18"/>
                <w:u w:val="none"/>
              </w:rPr>
            </w:pPr>
          </w:p>
        </w:tc>
        <w:tc>
          <w:tcPr>
            <w:tcW w:w="438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51AA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单位审计业务规模庞大，仅凭借单位内部审计人员无法完成，根据单位实际业务情况申请外聘审计服务人员审计费用30万元，以保障审计活动良好开展，确保外聘人员经费正常拨付。</w:t>
            </w:r>
          </w:p>
        </w:tc>
        <w:tc>
          <w:tcPr>
            <w:tcW w:w="3181"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CEEB6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r>
      <w:tr w14:paraId="48506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39C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7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2A6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339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0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EBD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01C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4CD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8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B0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57A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5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DC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024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80E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5470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41C18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33" w:type="dxa"/>
            <w:vMerge w:val="restart"/>
            <w:tcBorders>
              <w:top w:val="single" w:color="000000" w:sz="4" w:space="0"/>
              <w:left w:val="single" w:color="000000" w:sz="4" w:space="0"/>
              <w:bottom w:val="nil"/>
              <w:right w:val="single" w:color="000000" w:sz="4" w:space="0"/>
            </w:tcBorders>
            <w:shd w:val="clear" w:color="auto" w:fill="auto"/>
            <w:vAlign w:val="center"/>
          </w:tcPr>
          <w:p w14:paraId="3F65CF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766" w:type="dxa"/>
            <w:vMerge w:val="restart"/>
            <w:tcBorders>
              <w:top w:val="single" w:color="000000" w:sz="4" w:space="0"/>
              <w:left w:val="single" w:color="000000" w:sz="4" w:space="0"/>
              <w:bottom w:val="nil"/>
              <w:right w:val="single" w:color="000000" w:sz="4" w:space="0"/>
            </w:tcBorders>
            <w:shd w:val="clear" w:color="auto" w:fill="auto"/>
            <w:vAlign w:val="center"/>
          </w:tcPr>
          <w:p w14:paraId="37678D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700" w:type="dxa"/>
            <w:vMerge w:val="restart"/>
            <w:tcBorders>
              <w:top w:val="single" w:color="000000" w:sz="4" w:space="0"/>
              <w:left w:val="single" w:color="000000" w:sz="4" w:space="0"/>
              <w:bottom w:val="nil"/>
              <w:right w:val="single" w:color="000000" w:sz="4" w:space="0"/>
            </w:tcBorders>
            <w:shd w:val="clear" w:color="auto" w:fill="auto"/>
            <w:vAlign w:val="center"/>
          </w:tcPr>
          <w:p w14:paraId="6EE491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033" w:type="dxa"/>
            <w:tcBorders>
              <w:top w:val="single" w:color="000000" w:sz="4" w:space="0"/>
              <w:left w:val="single" w:color="000000" w:sz="4" w:space="0"/>
              <w:bottom w:val="nil"/>
              <w:right w:val="single" w:color="000000" w:sz="4" w:space="0"/>
            </w:tcBorders>
            <w:shd w:val="clear" w:color="auto" w:fill="auto"/>
            <w:vAlign w:val="center"/>
          </w:tcPr>
          <w:p w14:paraId="15709E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委托第三方预计审计人员次数</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5739CB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69EBFB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54D5AE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54C512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50" w:type="dxa"/>
            <w:tcBorders>
              <w:top w:val="single" w:color="000000" w:sz="4" w:space="0"/>
              <w:left w:val="single" w:color="000000" w:sz="4" w:space="0"/>
              <w:bottom w:val="nil"/>
              <w:right w:val="single" w:color="000000" w:sz="4" w:space="0"/>
            </w:tcBorders>
            <w:shd w:val="clear" w:color="auto" w:fill="auto"/>
            <w:vAlign w:val="center"/>
          </w:tcPr>
          <w:p w14:paraId="0969B2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532" w:type="dxa"/>
            <w:tcBorders>
              <w:top w:val="single" w:color="000000" w:sz="4" w:space="0"/>
              <w:left w:val="single" w:color="000000" w:sz="4" w:space="0"/>
              <w:bottom w:val="nil"/>
              <w:right w:val="single" w:color="000000" w:sz="4" w:space="0"/>
            </w:tcBorders>
            <w:shd w:val="clear" w:color="auto" w:fill="auto"/>
            <w:vAlign w:val="center"/>
          </w:tcPr>
          <w:p w14:paraId="6C50AA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420033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950" w:type="dxa"/>
            <w:tcBorders>
              <w:top w:val="single" w:color="000000" w:sz="4" w:space="0"/>
              <w:left w:val="single" w:color="000000" w:sz="4" w:space="0"/>
              <w:bottom w:val="nil"/>
              <w:right w:val="single" w:color="000000" w:sz="4" w:space="0"/>
            </w:tcBorders>
            <w:shd w:val="clear" w:color="auto" w:fill="auto"/>
            <w:vAlign w:val="center"/>
          </w:tcPr>
          <w:p w14:paraId="77F4AD54">
            <w:pPr>
              <w:jc w:val="center"/>
              <w:rPr>
                <w:rFonts w:hint="eastAsia" w:ascii="宋体" w:hAnsi="宋体" w:eastAsia="宋体" w:cs="宋体"/>
                <w:i w:val="0"/>
                <w:iCs w:val="0"/>
                <w:color w:val="000000"/>
                <w:sz w:val="18"/>
                <w:szCs w:val="18"/>
                <w:u w:val="none"/>
              </w:rPr>
            </w:pPr>
          </w:p>
        </w:tc>
      </w:tr>
      <w:tr w14:paraId="049DD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633" w:type="dxa"/>
            <w:vMerge w:val="continue"/>
            <w:tcBorders>
              <w:top w:val="single" w:color="000000" w:sz="4" w:space="0"/>
              <w:left w:val="single" w:color="000000" w:sz="4" w:space="0"/>
              <w:bottom w:val="nil"/>
              <w:right w:val="single" w:color="000000" w:sz="4" w:space="0"/>
            </w:tcBorders>
            <w:shd w:val="clear" w:color="auto" w:fill="auto"/>
            <w:vAlign w:val="center"/>
          </w:tcPr>
          <w:p w14:paraId="01FB49FB">
            <w:pPr>
              <w:jc w:val="center"/>
              <w:rPr>
                <w:rFonts w:hint="eastAsia" w:ascii="宋体" w:hAnsi="宋体" w:eastAsia="宋体" w:cs="宋体"/>
                <w:i w:val="0"/>
                <w:iCs w:val="0"/>
                <w:color w:val="000000"/>
                <w:sz w:val="18"/>
                <w:szCs w:val="18"/>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38DA6786">
            <w:pPr>
              <w:jc w:val="center"/>
              <w:rPr>
                <w:rFonts w:hint="eastAsia" w:ascii="宋体" w:hAnsi="宋体" w:eastAsia="宋体" w:cs="宋体"/>
                <w:i w:val="0"/>
                <w:iCs w:val="0"/>
                <w:color w:val="000000"/>
                <w:sz w:val="18"/>
                <w:szCs w:val="18"/>
                <w:u w:val="none"/>
              </w:rPr>
            </w:pPr>
          </w:p>
        </w:tc>
        <w:tc>
          <w:tcPr>
            <w:tcW w:w="700" w:type="dxa"/>
            <w:vMerge w:val="continue"/>
            <w:tcBorders>
              <w:top w:val="single" w:color="000000" w:sz="4" w:space="0"/>
              <w:left w:val="single" w:color="000000" w:sz="4" w:space="0"/>
              <w:bottom w:val="nil"/>
              <w:right w:val="single" w:color="000000" w:sz="4" w:space="0"/>
            </w:tcBorders>
            <w:shd w:val="clear" w:color="auto" w:fill="auto"/>
            <w:vAlign w:val="center"/>
          </w:tcPr>
          <w:p w14:paraId="4F1F870A">
            <w:pPr>
              <w:jc w:val="center"/>
              <w:rPr>
                <w:rFonts w:hint="eastAsia" w:ascii="宋体" w:hAnsi="宋体" w:eastAsia="宋体" w:cs="宋体"/>
                <w:i w:val="0"/>
                <w:iCs w:val="0"/>
                <w:color w:val="000000"/>
                <w:sz w:val="18"/>
                <w:szCs w:val="18"/>
                <w:u w:val="none"/>
              </w:rPr>
            </w:pPr>
          </w:p>
        </w:tc>
        <w:tc>
          <w:tcPr>
            <w:tcW w:w="1033" w:type="dxa"/>
            <w:tcBorders>
              <w:top w:val="single" w:color="000000" w:sz="4" w:space="0"/>
              <w:left w:val="single" w:color="000000" w:sz="4" w:space="0"/>
              <w:bottom w:val="nil"/>
              <w:right w:val="single" w:color="000000" w:sz="4" w:space="0"/>
            </w:tcBorders>
            <w:shd w:val="clear" w:color="auto" w:fill="auto"/>
            <w:vAlign w:val="center"/>
          </w:tcPr>
          <w:p w14:paraId="2CD6D1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开展审计业务次数</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3CC263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3AE428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575DB2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1E4CA2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50" w:type="dxa"/>
            <w:tcBorders>
              <w:top w:val="single" w:color="000000" w:sz="4" w:space="0"/>
              <w:left w:val="single" w:color="000000" w:sz="4" w:space="0"/>
              <w:bottom w:val="nil"/>
              <w:right w:val="single" w:color="000000" w:sz="4" w:space="0"/>
            </w:tcBorders>
            <w:shd w:val="clear" w:color="auto" w:fill="auto"/>
            <w:vAlign w:val="center"/>
          </w:tcPr>
          <w:p w14:paraId="0DE271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532" w:type="dxa"/>
            <w:tcBorders>
              <w:top w:val="single" w:color="000000" w:sz="4" w:space="0"/>
              <w:left w:val="single" w:color="000000" w:sz="4" w:space="0"/>
              <w:bottom w:val="nil"/>
              <w:right w:val="single" w:color="000000" w:sz="4" w:space="0"/>
            </w:tcBorders>
            <w:shd w:val="clear" w:color="auto" w:fill="auto"/>
            <w:vAlign w:val="center"/>
          </w:tcPr>
          <w:p w14:paraId="2730A0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6FA769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50" w:type="dxa"/>
            <w:tcBorders>
              <w:top w:val="single" w:color="000000" w:sz="4" w:space="0"/>
              <w:left w:val="single" w:color="000000" w:sz="4" w:space="0"/>
              <w:bottom w:val="nil"/>
              <w:right w:val="single" w:color="000000" w:sz="4" w:space="0"/>
            </w:tcBorders>
            <w:shd w:val="clear" w:color="auto" w:fill="auto"/>
            <w:vAlign w:val="center"/>
          </w:tcPr>
          <w:p w14:paraId="0DBA218F">
            <w:pPr>
              <w:jc w:val="center"/>
              <w:rPr>
                <w:rFonts w:hint="eastAsia" w:ascii="宋体" w:hAnsi="宋体" w:eastAsia="宋体" w:cs="宋体"/>
                <w:i w:val="0"/>
                <w:iCs w:val="0"/>
                <w:color w:val="000000"/>
                <w:sz w:val="18"/>
                <w:szCs w:val="18"/>
                <w:u w:val="none"/>
              </w:rPr>
            </w:pPr>
          </w:p>
        </w:tc>
      </w:tr>
      <w:tr w14:paraId="134DF8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633" w:type="dxa"/>
            <w:vMerge w:val="continue"/>
            <w:tcBorders>
              <w:top w:val="single" w:color="000000" w:sz="4" w:space="0"/>
              <w:left w:val="single" w:color="000000" w:sz="4" w:space="0"/>
              <w:bottom w:val="nil"/>
              <w:right w:val="single" w:color="000000" w:sz="4" w:space="0"/>
            </w:tcBorders>
            <w:shd w:val="clear" w:color="auto" w:fill="auto"/>
            <w:vAlign w:val="center"/>
          </w:tcPr>
          <w:p w14:paraId="170E358A">
            <w:pPr>
              <w:jc w:val="center"/>
              <w:rPr>
                <w:rFonts w:hint="eastAsia" w:ascii="宋体" w:hAnsi="宋体" w:eastAsia="宋体" w:cs="宋体"/>
                <w:i w:val="0"/>
                <w:iCs w:val="0"/>
                <w:color w:val="000000"/>
                <w:sz w:val="18"/>
                <w:szCs w:val="18"/>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6AF3F294">
            <w:pPr>
              <w:jc w:val="center"/>
              <w:rPr>
                <w:rFonts w:hint="eastAsia" w:ascii="宋体" w:hAnsi="宋体" w:eastAsia="宋体" w:cs="宋体"/>
                <w:i w:val="0"/>
                <w:iCs w:val="0"/>
                <w:color w:val="000000"/>
                <w:sz w:val="18"/>
                <w:szCs w:val="18"/>
                <w:u w:val="none"/>
              </w:rPr>
            </w:pPr>
          </w:p>
        </w:tc>
        <w:tc>
          <w:tcPr>
            <w:tcW w:w="700" w:type="dxa"/>
            <w:vMerge w:val="restart"/>
            <w:tcBorders>
              <w:top w:val="single" w:color="000000" w:sz="4" w:space="0"/>
              <w:left w:val="single" w:color="000000" w:sz="4" w:space="0"/>
              <w:bottom w:val="nil"/>
              <w:right w:val="single" w:color="000000" w:sz="4" w:space="0"/>
            </w:tcBorders>
            <w:shd w:val="clear" w:color="auto" w:fill="auto"/>
            <w:vAlign w:val="center"/>
          </w:tcPr>
          <w:p w14:paraId="3A391D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033" w:type="dxa"/>
            <w:tcBorders>
              <w:top w:val="single" w:color="000000" w:sz="4" w:space="0"/>
              <w:left w:val="single" w:color="000000" w:sz="4" w:space="0"/>
              <w:bottom w:val="nil"/>
              <w:right w:val="single" w:color="000000" w:sz="4" w:space="0"/>
            </w:tcBorders>
            <w:shd w:val="clear" w:color="auto" w:fill="auto"/>
            <w:vAlign w:val="center"/>
          </w:tcPr>
          <w:p w14:paraId="0AB85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审计结果准确性</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3D16D4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2610BF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12CDF5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27086F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50" w:type="dxa"/>
            <w:tcBorders>
              <w:top w:val="single" w:color="000000" w:sz="4" w:space="0"/>
              <w:left w:val="single" w:color="000000" w:sz="4" w:space="0"/>
              <w:bottom w:val="nil"/>
              <w:right w:val="single" w:color="000000" w:sz="4" w:space="0"/>
            </w:tcBorders>
            <w:shd w:val="clear" w:color="auto" w:fill="auto"/>
            <w:vAlign w:val="center"/>
          </w:tcPr>
          <w:p w14:paraId="2C555B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32" w:type="dxa"/>
            <w:tcBorders>
              <w:top w:val="single" w:color="000000" w:sz="4" w:space="0"/>
              <w:left w:val="single" w:color="000000" w:sz="4" w:space="0"/>
              <w:bottom w:val="nil"/>
              <w:right w:val="single" w:color="000000" w:sz="4" w:space="0"/>
            </w:tcBorders>
            <w:shd w:val="clear" w:color="auto" w:fill="auto"/>
            <w:vAlign w:val="center"/>
          </w:tcPr>
          <w:p w14:paraId="43AD00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7ACBA0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950" w:type="dxa"/>
            <w:tcBorders>
              <w:top w:val="single" w:color="000000" w:sz="4" w:space="0"/>
              <w:left w:val="single" w:color="000000" w:sz="4" w:space="0"/>
              <w:bottom w:val="nil"/>
              <w:right w:val="single" w:color="000000" w:sz="4" w:space="0"/>
            </w:tcBorders>
            <w:shd w:val="clear" w:color="auto" w:fill="auto"/>
            <w:vAlign w:val="center"/>
          </w:tcPr>
          <w:p w14:paraId="5E931320">
            <w:pPr>
              <w:jc w:val="center"/>
              <w:rPr>
                <w:rFonts w:hint="eastAsia" w:ascii="宋体" w:hAnsi="宋体" w:eastAsia="宋体" w:cs="宋体"/>
                <w:i w:val="0"/>
                <w:iCs w:val="0"/>
                <w:color w:val="000000"/>
                <w:sz w:val="18"/>
                <w:szCs w:val="18"/>
                <w:u w:val="none"/>
              </w:rPr>
            </w:pPr>
          </w:p>
        </w:tc>
      </w:tr>
      <w:tr w14:paraId="09903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0" w:hRule="atLeast"/>
        </w:trPr>
        <w:tc>
          <w:tcPr>
            <w:tcW w:w="633" w:type="dxa"/>
            <w:vMerge w:val="continue"/>
            <w:tcBorders>
              <w:top w:val="single" w:color="000000" w:sz="4" w:space="0"/>
              <w:left w:val="single" w:color="000000" w:sz="4" w:space="0"/>
              <w:bottom w:val="nil"/>
              <w:right w:val="single" w:color="000000" w:sz="4" w:space="0"/>
            </w:tcBorders>
            <w:shd w:val="clear" w:color="auto" w:fill="auto"/>
            <w:vAlign w:val="center"/>
          </w:tcPr>
          <w:p w14:paraId="5D68F393">
            <w:pPr>
              <w:jc w:val="center"/>
              <w:rPr>
                <w:rFonts w:hint="eastAsia" w:ascii="宋体" w:hAnsi="宋体" w:eastAsia="宋体" w:cs="宋体"/>
                <w:i w:val="0"/>
                <w:iCs w:val="0"/>
                <w:color w:val="000000"/>
                <w:sz w:val="18"/>
                <w:szCs w:val="18"/>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12E2D5E4">
            <w:pPr>
              <w:jc w:val="center"/>
              <w:rPr>
                <w:rFonts w:hint="eastAsia" w:ascii="宋体" w:hAnsi="宋体" w:eastAsia="宋体" w:cs="宋体"/>
                <w:i w:val="0"/>
                <w:iCs w:val="0"/>
                <w:color w:val="000000"/>
                <w:sz w:val="18"/>
                <w:szCs w:val="18"/>
                <w:u w:val="none"/>
              </w:rPr>
            </w:pPr>
          </w:p>
        </w:tc>
        <w:tc>
          <w:tcPr>
            <w:tcW w:w="700" w:type="dxa"/>
            <w:vMerge w:val="continue"/>
            <w:tcBorders>
              <w:top w:val="single" w:color="000000" w:sz="4" w:space="0"/>
              <w:left w:val="single" w:color="000000" w:sz="4" w:space="0"/>
              <w:bottom w:val="nil"/>
              <w:right w:val="single" w:color="000000" w:sz="4" w:space="0"/>
            </w:tcBorders>
            <w:shd w:val="clear" w:color="auto" w:fill="auto"/>
            <w:vAlign w:val="center"/>
          </w:tcPr>
          <w:p w14:paraId="794F27EE">
            <w:pPr>
              <w:jc w:val="center"/>
              <w:rPr>
                <w:rFonts w:hint="eastAsia" w:ascii="宋体" w:hAnsi="宋体" w:eastAsia="宋体" w:cs="宋体"/>
                <w:i w:val="0"/>
                <w:iCs w:val="0"/>
                <w:color w:val="000000"/>
                <w:sz w:val="18"/>
                <w:szCs w:val="18"/>
                <w:u w:val="none"/>
              </w:rPr>
            </w:pPr>
          </w:p>
        </w:tc>
        <w:tc>
          <w:tcPr>
            <w:tcW w:w="1033" w:type="dxa"/>
            <w:tcBorders>
              <w:top w:val="single" w:color="000000" w:sz="4" w:space="0"/>
              <w:left w:val="single" w:color="000000" w:sz="4" w:space="0"/>
              <w:bottom w:val="nil"/>
              <w:right w:val="single" w:color="000000" w:sz="4" w:space="0"/>
            </w:tcBorders>
            <w:shd w:val="clear" w:color="auto" w:fill="auto"/>
            <w:vAlign w:val="center"/>
          </w:tcPr>
          <w:p w14:paraId="4F6EA8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委托第三方审计人员合格率</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701DD8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75847B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0C1E77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1A2489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50" w:type="dxa"/>
            <w:tcBorders>
              <w:top w:val="single" w:color="000000" w:sz="4" w:space="0"/>
              <w:left w:val="single" w:color="000000" w:sz="4" w:space="0"/>
              <w:bottom w:val="nil"/>
              <w:right w:val="single" w:color="000000" w:sz="4" w:space="0"/>
            </w:tcBorders>
            <w:shd w:val="clear" w:color="auto" w:fill="auto"/>
            <w:vAlign w:val="center"/>
          </w:tcPr>
          <w:p w14:paraId="26CC99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32" w:type="dxa"/>
            <w:tcBorders>
              <w:top w:val="single" w:color="000000" w:sz="4" w:space="0"/>
              <w:left w:val="single" w:color="000000" w:sz="4" w:space="0"/>
              <w:bottom w:val="nil"/>
              <w:right w:val="single" w:color="000000" w:sz="4" w:space="0"/>
            </w:tcBorders>
            <w:shd w:val="clear" w:color="auto" w:fill="auto"/>
            <w:vAlign w:val="center"/>
          </w:tcPr>
          <w:p w14:paraId="434084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26549F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50" w:type="dxa"/>
            <w:tcBorders>
              <w:top w:val="single" w:color="000000" w:sz="4" w:space="0"/>
              <w:left w:val="single" w:color="000000" w:sz="4" w:space="0"/>
              <w:bottom w:val="nil"/>
              <w:right w:val="single" w:color="000000" w:sz="4" w:space="0"/>
            </w:tcBorders>
            <w:shd w:val="clear" w:color="auto" w:fill="auto"/>
            <w:vAlign w:val="center"/>
          </w:tcPr>
          <w:p w14:paraId="1AB33E32">
            <w:pPr>
              <w:jc w:val="center"/>
              <w:rPr>
                <w:rFonts w:hint="eastAsia" w:ascii="宋体" w:hAnsi="宋体" w:eastAsia="宋体" w:cs="宋体"/>
                <w:i w:val="0"/>
                <w:iCs w:val="0"/>
                <w:color w:val="000000"/>
                <w:sz w:val="18"/>
                <w:szCs w:val="18"/>
                <w:u w:val="none"/>
              </w:rPr>
            </w:pPr>
          </w:p>
        </w:tc>
      </w:tr>
      <w:tr w14:paraId="78AFD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633" w:type="dxa"/>
            <w:vMerge w:val="continue"/>
            <w:tcBorders>
              <w:top w:val="single" w:color="000000" w:sz="4" w:space="0"/>
              <w:left w:val="single" w:color="000000" w:sz="4" w:space="0"/>
              <w:bottom w:val="nil"/>
              <w:right w:val="single" w:color="000000" w:sz="4" w:space="0"/>
            </w:tcBorders>
            <w:shd w:val="clear" w:color="auto" w:fill="auto"/>
            <w:vAlign w:val="center"/>
          </w:tcPr>
          <w:p w14:paraId="2E51FB4B">
            <w:pPr>
              <w:jc w:val="center"/>
              <w:rPr>
                <w:rFonts w:hint="eastAsia" w:ascii="宋体" w:hAnsi="宋体" w:eastAsia="宋体" w:cs="宋体"/>
                <w:i w:val="0"/>
                <w:iCs w:val="0"/>
                <w:color w:val="000000"/>
                <w:sz w:val="18"/>
                <w:szCs w:val="18"/>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0AECA565">
            <w:pPr>
              <w:jc w:val="center"/>
              <w:rPr>
                <w:rFonts w:hint="eastAsia" w:ascii="宋体" w:hAnsi="宋体" w:eastAsia="宋体" w:cs="宋体"/>
                <w:i w:val="0"/>
                <w:iCs w:val="0"/>
                <w:color w:val="000000"/>
                <w:sz w:val="18"/>
                <w:szCs w:val="18"/>
                <w:u w:val="none"/>
              </w:rPr>
            </w:pPr>
          </w:p>
        </w:tc>
        <w:tc>
          <w:tcPr>
            <w:tcW w:w="700" w:type="dxa"/>
            <w:vMerge w:val="restart"/>
            <w:tcBorders>
              <w:top w:val="single" w:color="000000" w:sz="4" w:space="0"/>
              <w:left w:val="single" w:color="000000" w:sz="4" w:space="0"/>
              <w:bottom w:val="nil"/>
              <w:right w:val="single" w:color="000000" w:sz="4" w:space="0"/>
            </w:tcBorders>
            <w:shd w:val="clear" w:color="auto" w:fill="auto"/>
            <w:vAlign w:val="center"/>
          </w:tcPr>
          <w:p w14:paraId="468B39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033" w:type="dxa"/>
            <w:tcBorders>
              <w:top w:val="single" w:color="000000" w:sz="4" w:space="0"/>
              <w:left w:val="single" w:color="000000" w:sz="4" w:space="0"/>
              <w:bottom w:val="nil"/>
              <w:right w:val="single" w:color="000000" w:sz="4" w:space="0"/>
            </w:tcBorders>
            <w:shd w:val="clear" w:color="auto" w:fill="auto"/>
            <w:vAlign w:val="center"/>
          </w:tcPr>
          <w:p w14:paraId="3DFDEB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审计时间</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0F82C5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6C1E96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44F119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236C2B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50" w:type="dxa"/>
            <w:tcBorders>
              <w:top w:val="single" w:color="000000" w:sz="4" w:space="0"/>
              <w:left w:val="single" w:color="000000" w:sz="4" w:space="0"/>
              <w:bottom w:val="nil"/>
              <w:right w:val="single" w:color="000000" w:sz="4" w:space="0"/>
            </w:tcBorders>
            <w:shd w:val="clear" w:color="auto" w:fill="auto"/>
            <w:vAlign w:val="center"/>
          </w:tcPr>
          <w:p w14:paraId="385E6C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532" w:type="dxa"/>
            <w:tcBorders>
              <w:top w:val="single" w:color="000000" w:sz="4" w:space="0"/>
              <w:left w:val="single" w:color="000000" w:sz="4" w:space="0"/>
              <w:bottom w:val="nil"/>
              <w:right w:val="single" w:color="000000" w:sz="4" w:space="0"/>
            </w:tcBorders>
            <w:shd w:val="clear" w:color="auto" w:fill="auto"/>
            <w:vAlign w:val="center"/>
          </w:tcPr>
          <w:p w14:paraId="272B13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0608A3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50" w:type="dxa"/>
            <w:tcBorders>
              <w:top w:val="single" w:color="000000" w:sz="4" w:space="0"/>
              <w:left w:val="single" w:color="000000" w:sz="4" w:space="0"/>
              <w:bottom w:val="nil"/>
              <w:right w:val="single" w:color="000000" w:sz="4" w:space="0"/>
            </w:tcBorders>
            <w:shd w:val="clear" w:color="auto" w:fill="auto"/>
            <w:vAlign w:val="center"/>
          </w:tcPr>
          <w:p w14:paraId="390EFF74">
            <w:pPr>
              <w:jc w:val="center"/>
              <w:rPr>
                <w:rFonts w:hint="eastAsia" w:ascii="宋体" w:hAnsi="宋体" w:eastAsia="宋体" w:cs="宋体"/>
                <w:i w:val="0"/>
                <w:iCs w:val="0"/>
                <w:color w:val="000000"/>
                <w:sz w:val="18"/>
                <w:szCs w:val="18"/>
                <w:u w:val="none"/>
              </w:rPr>
            </w:pPr>
          </w:p>
        </w:tc>
      </w:tr>
      <w:tr w14:paraId="18E00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33" w:type="dxa"/>
            <w:vMerge w:val="continue"/>
            <w:tcBorders>
              <w:top w:val="single" w:color="000000" w:sz="4" w:space="0"/>
              <w:left w:val="single" w:color="000000" w:sz="4" w:space="0"/>
              <w:bottom w:val="nil"/>
              <w:right w:val="single" w:color="000000" w:sz="4" w:space="0"/>
            </w:tcBorders>
            <w:shd w:val="clear" w:color="auto" w:fill="auto"/>
            <w:vAlign w:val="center"/>
          </w:tcPr>
          <w:p w14:paraId="450089E3">
            <w:pPr>
              <w:jc w:val="center"/>
              <w:rPr>
                <w:rFonts w:hint="eastAsia" w:ascii="宋体" w:hAnsi="宋体" w:eastAsia="宋体" w:cs="宋体"/>
                <w:i w:val="0"/>
                <w:iCs w:val="0"/>
                <w:color w:val="000000"/>
                <w:sz w:val="18"/>
                <w:szCs w:val="18"/>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3228C28F">
            <w:pPr>
              <w:jc w:val="center"/>
              <w:rPr>
                <w:rFonts w:hint="eastAsia" w:ascii="宋体" w:hAnsi="宋体" w:eastAsia="宋体" w:cs="宋体"/>
                <w:i w:val="0"/>
                <w:iCs w:val="0"/>
                <w:color w:val="000000"/>
                <w:sz w:val="18"/>
                <w:szCs w:val="18"/>
                <w:u w:val="none"/>
              </w:rPr>
            </w:pPr>
          </w:p>
        </w:tc>
        <w:tc>
          <w:tcPr>
            <w:tcW w:w="700" w:type="dxa"/>
            <w:vMerge w:val="continue"/>
            <w:tcBorders>
              <w:top w:val="single" w:color="000000" w:sz="4" w:space="0"/>
              <w:left w:val="single" w:color="000000" w:sz="4" w:space="0"/>
              <w:bottom w:val="nil"/>
              <w:right w:val="single" w:color="000000" w:sz="4" w:space="0"/>
            </w:tcBorders>
            <w:shd w:val="clear" w:color="auto" w:fill="auto"/>
            <w:vAlign w:val="center"/>
          </w:tcPr>
          <w:p w14:paraId="5DEEE4BD">
            <w:pPr>
              <w:jc w:val="center"/>
              <w:rPr>
                <w:rFonts w:hint="eastAsia" w:ascii="宋体" w:hAnsi="宋体" w:eastAsia="宋体" w:cs="宋体"/>
                <w:i w:val="0"/>
                <w:iCs w:val="0"/>
                <w:color w:val="000000"/>
                <w:sz w:val="18"/>
                <w:szCs w:val="18"/>
                <w:u w:val="none"/>
              </w:rPr>
            </w:pPr>
          </w:p>
        </w:tc>
        <w:tc>
          <w:tcPr>
            <w:tcW w:w="1033" w:type="dxa"/>
            <w:tcBorders>
              <w:top w:val="single" w:color="000000" w:sz="4" w:space="0"/>
              <w:left w:val="single" w:color="000000" w:sz="4" w:space="0"/>
              <w:bottom w:val="nil"/>
              <w:right w:val="single" w:color="000000" w:sz="4" w:space="0"/>
            </w:tcBorders>
            <w:shd w:val="clear" w:color="auto" w:fill="auto"/>
            <w:vAlign w:val="center"/>
          </w:tcPr>
          <w:p w14:paraId="5E357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经费拨付时间</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0A0EC6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14C659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7CEE9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7DF17E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50" w:type="dxa"/>
            <w:tcBorders>
              <w:top w:val="single" w:color="000000" w:sz="4" w:space="0"/>
              <w:left w:val="single" w:color="000000" w:sz="4" w:space="0"/>
              <w:bottom w:val="nil"/>
              <w:right w:val="single" w:color="000000" w:sz="4" w:space="0"/>
            </w:tcBorders>
            <w:shd w:val="clear" w:color="auto" w:fill="auto"/>
            <w:vAlign w:val="center"/>
          </w:tcPr>
          <w:p w14:paraId="3D2CB9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532" w:type="dxa"/>
            <w:tcBorders>
              <w:top w:val="single" w:color="000000" w:sz="4" w:space="0"/>
              <w:left w:val="single" w:color="000000" w:sz="4" w:space="0"/>
              <w:bottom w:val="nil"/>
              <w:right w:val="single" w:color="000000" w:sz="4" w:space="0"/>
            </w:tcBorders>
            <w:shd w:val="clear" w:color="auto" w:fill="auto"/>
            <w:vAlign w:val="center"/>
          </w:tcPr>
          <w:p w14:paraId="57B6DB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035BA1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50" w:type="dxa"/>
            <w:tcBorders>
              <w:top w:val="single" w:color="000000" w:sz="4" w:space="0"/>
              <w:left w:val="single" w:color="000000" w:sz="4" w:space="0"/>
              <w:bottom w:val="nil"/>
              <w:right w:val="single" w:color="000000" w:sz="4" w:space="0"/>
            </w:tcBorders>
            <w:shd w:val="clear" w:color="auto" w:fill="auto"/>
            <w:vAlign w:val="center"/>
          </w:tcPr>
          <w:p w14:paraId="4A5B27F8">
            <w:pPr>
              <w:jc w:val="center"/>
              <w:rPr>
                <w:rFonts w:hint="eastAsia" w:ascii="宋体" w:hAnsi="宋体" w:eastAsia="宋体" w:cs="宋体"/>
                <w:i w:val="0"/>
                <w:iCs w:val="0"/>
                <w:color w:val="000000"/>
                <w:sz w:val="18"/>
                <w:szCs w:val="18"/>
                <w:u w:val="none"/>
              </w:rPr>
            </w:pPr>
          </w:p>
        </w:tc>
      </w:tr>
      <w:tr w14:paraId="79D4E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33" w:type="dxa"/>
            <w:vMerge w:val="continue"/>
            <w:tcBorders>
              <w:top w:val="single" w:color="000000" w:sz="4" w:space="0"/>
              <w:left w:val="single" w:color="000000" w:sz="4" w:space="0"/>
              <w:bottom w:val="nil"/>
              <w:right w:val="single" w:color="000000" w:sz="4" w:space="0"/>
            </w:tcBorders>
            <w:shd w:val="clear" w:color="auto" w:fill="auto"/>
            <w:vAlign w:val="center"/>
          </w:tcPr>
          <w:p w14:paraId="47E71D7C">
            <w:pPr>
              <w:jc w:val="center"/>
              <w:rPr>
                <w:rFonts w:hint="eastAsia" w:ascii="宋体" w:hAnsi="宋体" w:eastAsia="宋体" w:cs="宋体"/>
                <w:i w:val="0"/>
                <w:iCs w:val="0"/>
                <w:color w:val="000000"/>
                <w:sz w:val="18"/>
                <w:szCs w:val="18"/>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6820AEF0">
            <w:pPr>
              <w:jc w:val="center"/>
              <w:rPr>
                <w:rFonts w:hint="eastAsia" w:ascii="宋体" w:hAnsi="宋体" w:eastAsia="宋体" w:cs="宋体"/>
                <w:i w:val="0"/>
                <w:iCs w:val="0"/>
                <w:color w:val="000000"/>
                <w:sz w:val="18"/>
                <w:szCs w:val="18"/>
                <w:u w:val="none"/>
              </w:rPr>
            </w:pPr>
          </w:p>
        </w:tc>
        <w:tc>
          <w:tcPr>
            <w:tcW w:w="700" w:type="dxa"/>
            <w:vMerge w:val="restart"/>
            <w:tcBorders>
              <w:top w:val="single" w:color="000000" w:sz="4" w:space="0"/>
              <w:left w:val="single" w:color="000000" w:sz="4" w:space="0"/>
              <w:bottom w:val="nil"/>
              <w:right w:val="single" w:color="000000" w:sz="4" w:space="0"/>
            </w:tcBorders>
            <w:shd w:val="clear" w:color="auto" w:fill="auto"/>
            <w:vAlign w:val="center"/>
          </w:tcPr>
          <w:p w14:paraId="543FB9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033" w:type="dxa"/>
            <w:tcBorders>
              <w:top w:val="single" w:color="000000" w:sz="4" w:space="0"/>
              <w:left w:val="single" w:color="000000" w:sz="4" w:space="0"/>
              <w:bottom w:val="nil"/>
              <w:right w:val="single" w:color="000000" w:sz="4" w:space="0"/>
            </w:tcBorders>
            <w:shd w:val="clear" w:color="auto" w:fill="auto"/>
            <w:vAlign w:val="center"/>
          </w:tcPr>
          <w:p w14:paraId="04547E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年初预算经费</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7BD7B3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4FE22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5F584B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0ED6E7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50" w:type="dxa"/>
            <w:tcBorders>
              <w:top w:val="single" w:color="000000" w:sz="4" w:space="0"/>
              <w:left w:val="single" w:color="000000" w:sz="4" w:space="0"/>
              <w:bottom w:val="nil"/>
              <w:right w:val="single" w:color="000000" w:sz="4" w:space="0"/>
            </w:tcBorders>
            <w:shd w:val="clear" w:color="auto" w:fill="auto"/>
            <w:vAlign w:val="center"/>
          </w:tcPr>
          <w:p w14:paraId="2AF202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532" w:type="dxa"/>
            <w:tcBorders>
              <w:top w:val="single" w:color="000000" w:sz="4" w:space="0"/>
              <w:left w:val="single" w:color="000000" w:sz="4" w:space="0"/>
              <w:bottom w:val="nil"/>
              <w:right w:val="single" w:color="000000" w:sz="4" w:space="0"/>
            </w:tcBorders>
            <w:shd w:val="clear" w:color="auto" w:fill="auto"/>
            <w:vAlign w:val="center"/>
          </w:tcPr>
          <w:p w14:paraId="4EBE2F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591479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50" w:type="dxa"/>
            <w:tcBorders>
              <w:top w:val="single" w:color="000000" w:sz="4" w:space="0"/>
              <w:left w:val="single" w:color="000000" w:sz="4" w:space="0"/>
              <w:bottom w:val="nil"/>
              <w:right w:val="single" w:color="000000" w:sz="4" w:space="0"/>
            </w:tcBorders>
            <w:shd w:val="clear" w:color="auto" w:fill="auto"/>
            <w:vAlign w:val="center"/>
          </w:tcPr>
          <w:p w14:paraId="6465D517">
            <w:pPr>
              <w:jc w:val="center"/>
              <w:rPr>
                <w:rFonts w:hint="eastAsia" w:ascii="宋体" w:hAnsi="宋体" w:eastAsia="宋体" w:cs="宋体"/>
                <w:i w:val="0"/>
                <w:iCs w:val="0"/>
                <w:color w:val="000000"/>
                <w:sz w:val="18"/>
                <w:szCs w:val="18"/>
                <w:u w:val="none"/>
              </w:rPr>
            </w:pPr>
          </w:p>
        </w:tc>
      </w:tr>
      <w:tr w14:paraId="0DF666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33" w:type="dxa"/>
            <w:vMerge w:val="continue"/>
            <w:tcBorders>
              <w:top w:val="single" w:color="000000" w:sz="4" w:space="0"/>
              <w:left w:val="single" w:color="000000" w:sz="4" w:space="0"/>
              <w:bottom w:val="nil"/>
              <w:right w:val="single" w:color="000000" w:sz="4" w:space="0"/>
            </w:tcBorders>
            <w:shd w:val="clear" w:color="auto" w:fill="auto"/>
            <w:vAlign w:val="center"/>
          </w:tcPr>
          <w:p w14:paraId="4D58E427">
            <w:pPr>
              <w:jc w:val="center"/>
              <w:rPr>
                <w:rFonts w:hint="eastAsia" w:ascii="宋体" w:hAnsi="宋体" w:eastAsia="宋体" w:cs="宋体"/>
                <w:i w:val="0"/>
                <w:iCs w:val="0"/>
                <w:color w:val="000000"/>
                <w:sz w:val="18"/>
                <w:szCs w:val="18"/>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535E47F6">
            <w:pPr>
              <w:jc w:val="center"/>
              <w:rPr>
                <w:rFonts w:hint="eastAsia" w:ascii="宋体" w:hAnsi="宋体" w:eastAsia="宋体" w:cs="宋体"/>
                <w:i w:val="0"/>
                <w:iCs w:val="0"/>
                <w:color w:val="000000"/>
                <w:sz w:val="18"/>
                <w:szCs w:val="18"/>
                <w:u w:val="none"/>
              </w:rPr>
            </w:pPr>
          </w:p>
        </w:tc>
        <w:tc>
          <w:tcPr>
            <w:tcW w:w="700" w:type="dxa"/>
            <w:vMerge w:val="continue"/>
            <w:tcBorders>
              <w:top w:val="single" w:color="000000" w:sz="4" w:space="0"/>
              <w:left w:val="single" w:color="000000" w:sz="4" w:space="0"/>
              <w:bottom w:val="nil"/>
              <w:right w:val="single" w:color="000000" w:sz="4" w:space="0"/>
            </w:tcBorders>
            <w:shd w:val="clear" w:color="auto" w:fill="auto"/>
            <w:vAlign w:val="center"/>
          </w:tcPr>
          <w:p w14:paraId="75457414">
            <w:pPr>
              <w:jc w:val="center"/>
              <w:rPr>
                <w:rFonts w:hint="eastAsia" w:ascii="宋体" w:hAnsi="宋体" w:eastAsia="宋体" w:cs="宋体"/>
                <w:i w:val="0"/>
                <w:iCs w:val="0"/>
                <w:color w:val="000000"/>
                <w:sz w:val="18"/>
                <w:szCs w:val="18"/>
                <w:u w:val="none"/>
              </w:rPr>
            </w:pPr>
          </w:p>
        </w:tc>
        <w:tc>
          <w:tcPr>
            <w:tcW w:w="1033" w:type="dxa"/>
            <w:tcBorders>
              <w:top w:val="single" w:color="000000" w:sz="4" w:space="0"/>
              <w:left w:val="single" w:color="000000" w:sz="4" w:space="0"/>
              <w:bottom w:val="nil"/>
              <w:right w:val="single" w:color="000000" w:sz="4" w:space="0"/>
            </w:tcBorders>
            <w:shd w:val="clear" w:color="auto" w:fill="auto"/>
            <w:vAlign w:val="center"/>
          </w:tcPr>
          <w:p w14:paraId="144A1A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单次业务活动经费</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0E6616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3D7EC1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3B0998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13EC01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50" w:type="dxa"/>
            <w:tcBorders>
              <w:top w:val="single" w:color="000000" w:sz="4" w:space="0"/>
              <w:left w:val="single" w:color="000000" w:sz="4" w:space="0"/>
              <w:bottom w:val="nil"/>
              <w:right w:val="single" w:color="000000" w:sz="4" w:space="0"/>
            </w:tcBorders>
            <w:shd w:val="clear" w:color="auto" w:fill="auto"/>
            <w:vAlign w:val="center"/>
          </w:tcPr>
          <w:p w14:paraId="2DCBE8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532" w:type="dxa"/>
            <w:tcBorders>
              <w:top w:val="single" w:color="000000" w:sz="4" w:space="0"/>
              <w:left w:val="single" w:color="000000" w:sz="4" w:space="0"/>
              <w:bottom w:val="nil"/>
              <w:right w:val="single" w:color="000000" w:sz="4" w:space="0"/>
            </w:tcBorders>
            <w:shd w:val="clear" w:color="auto" w:fill="auto"/>
            <w:vAlign w:val="center"/>
          </w:tcPr>
          <w:p w14:paraId="77CDD8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300658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50" w:type="dxa"/>
            <w:tcBorders>
              <w:top w:val="single" w:color="000000" w:sz="4" w:space="0"/>
              <w:left w:val="single" w:color="000000" w:sz="4" w:space="0"/>
              <w:bottom w:val="nil"/>
              <w:right w:val="single" w:color="000000" w:sz="4" w:space="0"/>
            </w:tcBorders>
            <w:shd w:val="clear" w:color="auto" w:fill="auto"/>
            <w:vAlign w:val="center"/>
          </w:tcPr>
          <w:p w14:paraId="3BF67CE8">
            <w:pPr>
              <w:jc w:val="center"/>
              <w:rPr>
                <w:rFonts w:hint="eastAsia" w:ascii="宋体" w:hAnsi="宋体" w:eastAsia="宋体" w:cs="宋体"/>
                <w:i w:val="0"/>
                <w:iCs w:val="0"/>
                <w:color w:val="000000"/>
                <w:sz w:val="18"/>
                <w:szCs w:val="18"/>
                <w:u w:val="none"/>
              </w:rPr>
            </w:pPr>
          </w:p>
        </w:tc>
      </w:tr>
      <w:tr w14:paraId="11112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633" w:type="dxa"/>
            <w:vMerge w:val="continue"/>
            <w:tcBorders>
              <w:top w:val="single" w:color="000000" w:sz="4" w:space="0"/>
              <w:left w:val="single" w:color="000000" w:sz="4" w:space="0"/>
              <w:bottom w:val="nil"/>
              <w:right w:val="single" w:color="000000" w:sz="4" w:space="0"/>
            </w:tcBorders>
            <w:shd w:val="clear" w:color="auto" w:fill="auto"/>
            <w:vAlign w:val="center"/>
          </w:tcPr>
          <w:p w14:paraId="042721A0">
            <w:pPr>
              <w:jc w:val="center"/>
              <w:rPr>
                <w:rFonts w:hint="eastAsia" w:ascii="宋体" w:hAnsi="宋体" w:eastAsia="宋体" w:cs="宋体"/>
                <w:i w:val="0"/>
                <w:iCs w:val="0"/>
                <w:color w:val="000000"/>
                <w:sz w:val="18"/>
                <w:szCs w:val="18"/>
                <w:u w:val="none"/>
              </w:rPr>
            </w:pPr>
          </w:p>
        </w:tc>
        <w:tc>
          <w:tcPr>
            <w:tcW w:w="766" w:type="dxa"/>
            <w:vMerge w:val="restart"/>
            <w:tcBorders>
              <w:top w:val="single" w:color="000000" w:sz="4" w:space="0"/>
              <w:left w:val="single" w:color="000000" w:sz="4" w:space="0"/>
              <w:bottom w:val="nil"/>
              <w:right w:val="single" w:color="000000" w:sz="4" w:space="0"/>
            </w:tcBorders>
            <w:shd w:val="clear" w:color="auto" w:fill="auto"/>
            <w:vAlign w:val="center"/>
          </w:tcPr>
          <w:p w14:paraId="56E4E2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700" w:type="dxa"/>
            <w:tcBorders>
              <w:top w:val="single" w:color="000000" w:sz="4" w:space="0"/>
              <w:left w:val="single" w:color="000000" w:sz="4" w:space="0"/>
              <w:bottom w:val="nil"/>
              <w:right w:val="single" w:color="000000" w:sz="4" w:space="0"/>
            </w:tcBorders>
            <w:shd w:val="clear" w:color="auto" w:fill="auto"/>
            <w:vAlign w:val="center"/>
          </w:tcPr>
          <w:p w14:paraId="4A67D3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p>
        </w:tc>
        <w:tc>
          <w:tcPr>
            <w:tcW w:w="1033" w:type="dxa"/>
            <w:tcBorders>
              <w:top w:val="single" w:color="000000" w:sz="4" w:space="0"/>
              <w:left w:val="single" w:color="000000" w:sz="4" w:space="0"/>
              <w:bottom w:val="nil"/>
              <w:right w:val="single" w:color="000000" w:sz="4" w:space="0"/>
            </w:tcBorders>
            <w:shd w:val="clear" w:color="auto" w:fill="auto"/>
            <w:vAlign w:val="center"/>
          </w:tcPr>
          <w:p w14:paraId="7695EC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保障审计活动正常开展</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731E72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4BC0E966">
            <w:pPr>
              <w:jc w:val="center"/>
              <w:rPr>
                <w:rFonts w:hint="eastAsia" w:ascii="宋体" w:hAnsi="宋体" w:eastAsia="宋体" w:cs="宋体"/>
                <w:i w:val="0"/>
                <w:iCs w:val="0"/>
                <w:color w:val="000000"/>
                <w:sz w:val="18"/>
                <w:szCs w:val="18"/>
                <w:u w:val="none"/>
              </w:rPr>
            </w:pPr>
          </w:p>
        </w:tc>
        <w:tc>
          <w:tcPr>
            <w:tcW w:w="899" w:type="dxa"/>
            <w:tcBorders>
              <w:top w:val="single" w:color="000000" w:sz="4" w:space="0"/>
              <w:left w:val="single" w:color="000000" w:sz="4" w:space="0"/>
              <w:bottom w:val="nil"/>
              <w:right w:val="single" w:color="000000" w:sz="4" w:space="0"/>
            </w:tcBorders>
            <w:shd w:val="clear" w:color="auto" w:fill="auto"/>
            <w:vAlign w:val="center"/>
          </w:tcPr>
          <w:p w14:paraId="195177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有效保障</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0E2EBA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50" w:type="dxa"/>
            <w:tcBorders>
              <w:top w:val="single" w:color="000000" w:sz="4" w:space="0"/>
              <w:left w:val="single" w:color="000000" w:sz="4" w:space="0"/>
              <w:bottom w:val="nil"/>
              <w:right w:val="single" w:color="000000" w:sz="4" w:space="0"/>
            </w:tcBorders>
            <w:shd w:val="clear" w:color="auto" w:fill="auto"/>
            <w:vAlign w:val="center"/>
          </w:tcPr>
          <w:p w14:paraId="7244472A">
            <w:pPr>
              <w:jc w:val="center"/>
              <w:rPr>
                <w:rFonts w:hint="eastAsia" w:ascii="宋体" w:hAnsi="宋体" w:eastAsia="宋体" w:cs="宋体"/>
                <w:i w:val="0"/>
                <w:iCs w:val="0"/>
                <w:color w:val="000000"/>
                <w:sz w:val="18"/>
                <w:szCs w:val="18"/>
                <w:u w:val="none"/>
              </w:rPr>
            </w:pPr>
          </w:p>
        </w:tc>
        <w:tc>
          <w:tcPr>
            <w:tcW w:w="532" w:type="dxa"/>
            <w:tcBorders>
              <w:top w:val="single" w:color="000000" w:sz="4" w:space="0"/>
              <w:left w:val="single" w:color="000000" w:sz="4" w:space="0"/>
              <w:bottom w:val="nil"/>
              <w:right w:val="single" w:color="000000" w:sz="4" w:space="0"/>
            </w:tcBorders>
            <w:shd w:val="clear" w:color="auto" w:fill="auto"/>
            <w:vAlign w:val="center"/>
          </w:tcPr>
          <w:p w14:paraId="4FD051B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4899B0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950" w:type="dxa"/>
            <w:tcBorders>
              <w:top w:val="single" w:color="000000" w:sz="4" w:space="0"/>
              <w:left w:val="single" w:color="000000" w:sz="4" w:space="0"/>
              <w:bottom w:val="nil"/>
              <w:right w:val="single" w:color="000000" w:sz="4" w:space="0"/>
            </w:tcBorders>
            <w:shd w:val="clear" w:color="auto" w:fill="auto"/>
            <w:vAlign w:val="center"/>
          </w:tcPr>
          <w:p w14:paraId="3870D435">
            <w:pPr>
              <w:jc w:val="center"/>
              <w:rPr>
                <w:rFonts w:hint="eastAsia" w:ascii="宋体" w:hAnsi="宋体" w:eastAsia="宋体" w:cs="宋体"/>
                <w:i w:val="0"/>
                <w:iCs w:val="0"/>
                <w:color w:val="000000"/>
                <w:sz w:val="18"/>
                <w:szCs w:val="18"/>
                <w:u w:val="none"/>
              </w:rPr>
            </w:pPr>
          </w:p>
        </w:tc>
      </w:tr>
      <w:tr w14:paraId="24ED6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33" w:type="dxa"/>
            <w:vMerge w:val="continue"/>
            <w:tcBorders>
              <w:top w:val="single" w:color="000000" w:sz="4" w:space="0"/>
              <w:left w:val="single" w:color="000000" w:sz="4" w:space="0"/>
              <w:bottom w:val="nil"/>
              <w:right w:val="single" w:color="000000" w:sz="4" w:space="0"/>
            </w:tcBorders>
            <w:shd w:val="clear" w:color="auto" w:fill="auto"/>
            <w:vAlign w:val="center"/>
          </w:tcPr>
          <w:p w14:paraId="4C8902A5">
            <w:pPr>
              <w:jc w:val="center"/>
              <w:rPr>
                <w:rFonts w:hint="eastAsia" w:ascii="宋体" w:hAnsi="宋体" w:eastAsia="宋体" w:cs="宋体"/>
                <w:i w:val="0"/>
                <w:iCs w:val="0"/>
                <w:color w:val="000000"/>
                <w:sz w:val="18"/>
                <w:szCs w:val="18"/>
                <w:u w:val="none"/>
              </w:rPr>
            </w:pPr>
          </w:p>
        </w:tc>
        <w:tc>
          <w:tcPr>
            <w:tcW w:w="766" w:type="dxa"/>
            <w:vMerge w:val="continue"/>
            <w:tcBorders>
              <w:top w:val="single" w:color="000000" w:sz="4" w:space="0"/>
              <w:left w:val="single" w:color="000000" w:sz="4" w:space="0"/>
              <w:bottom w:val="nil"/>
              <w:right w:val="single" w:color="000000" w:sz="4" w:space="0"/>
            </w:tcBorders>
            <w:shd w:val="clear" w:color="auto" w:fill="auto"/>
            <w:vAlign w:val="center"/>
          </w:tcPr>
          <w:p w14:paraId="5ACF7347">
            <w:pPr>
              <w:jc w:val="center"/>
              <w:rPr>
                <w:rFonts w:hint="eastAsia" w:ascii="宋体" w:hAnsi="宋体" w:eastAsia="宋体" w:cs="宋体"/>
                <w:i w:val="0"/>
                <w:iCs w:val="0"/>
                <w:color w:val="000000"/>
                <w:sz w:val="18"/>
                <w:szCs w:val="18"/>
                <w:u w:val="none"/>
              </w:rPr>
            </w:pPr>
          </w:p>
        </w:tc>
        <w:tc>
          <w:tcPr>
            <w:tcW w:w="700" w:type="dxa"/>
            <w:tcBorders>
              <w:top w:val="single" w:color="000000" w:sz="4" w:space="0"/>
              <w:left w:val="single" w:color="000000" w:sz="4" w:space="0"/>
              <w:bottom w:val="nil"/>
              <w:right w:val="single" w:color="000000" w:sz="4" w:space="0"/>
            </w:tcBorders>
            <w:shd w:val="clear" w:color="auto" w:fill="auto"/>
            <w:vAlign w:val="center"/>
          </w:tcPr>
          <w:p w14:paraId="37DD78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w:t>
            </w:r>
          </w:p>
        </w:tc>
        <w:tc>
          <w:tcPr>
            <w:tcW w:w="1033" w:type="dxa"/>
            <w:tcBorders>
              <w:top w:val="single" w:color="000000" w:sz="4" w:space="0"/>
              <w:left w:val="single" w:color="000000" w:sz="4" w:space="0"/>
              <w:bottom w:val="nil"/>
              <w:right w:val="single" w:color="000000" w:sz="4" w:space="0"/>
            </w:tcBorders>
            <w:shd w:val="clear" w:color="auto" w:fill="auto"/>
            <w:vAlign w:val="center"/>
          </w:tcPr>
          <w:p w14:paraId="760C3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持续影响我区经济有序进行</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7CB459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4EFB9B33">
            <w:pPr>
              <w:jc w:val="center"/>
              <w:rPr>
                <w:rFonts w:hint="eastAsia" w:ascii="宋体" w:hAnsi="宋体" w:eastAsia="宋体" w:cs="宋体"/>
                <w:i w:val="0"/>
                <w:iCs w:val="0"/>
                <w:color w:val="000000"/>
                <w:sz w:val="18"/>
                <w:szCs w:val="18"/>
                <w:u w:val="none"/>
              </w:rPr>
            </w:pPr>
          </w:p>
        </w:tc>
        <w:tc>
          <w:tcPr>
            <w:tcW w:w="899" w:type="dxa"/>
            <w:tcBorders>
              <w:top w:val="single" w:color="000000" w:sz="4" w:space="0"/>
              <w:left w:val="single" w:color="000000" w:sz="4" w:space="0"/>
              <w:bottom w:val="nil"/>
              <w:right w:val="single" w:color="000000" w:sz="4" w:space="0"/>
            </w:tcBorders>
            <w:shd w:val="clear" w:color="auto" w:fill="auto"/>
            <w:vAlign w:val="center"/>
          </w:tcPr>
          <w:p w14:paraId="734726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持续</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21C9AD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50" w:type="dxa"/>
            <w:tcBorders>
              <w:top w:val="single" w:color="000000" w:sz="4" w:space="0"/>
              <w:left w:val="single" w:color="000000" w:sz="4" w:space="0"/>
              <w:bottom w:val="nil"/>
              <w:right w:val="single" w:color="000000" w:sz="4" w:space="0"/>
            </w:tcBorders>
            <w:shd w:val="clear" w:color="auto" w:fill="auto"/>
            <w:vAlign w:val="center"/>
          </w:tcPr>
          <w:p w14:paraId="088EDE95">
            <w:pPr>
              <w:jc w:val="center"/>
              <w:rPr>
                <w:rFonts w:hint="eastAsia" w:ascii="宋体" w:hAnsi="宋体" w:eastAsia="宋体" w:cs="宋体"/>
                <w:i w:val="0"/>
                <w:iCs w:val="0"/>
                <w:color w:val="000000"/>
                <w:sz w:val="18"/>
                <w:szCs w:val="18"/>
                <w:u w:val="none"/>
              </w:rPr>
            </w:pPr>
          </w:p>
        </w:tc>
        <w:tc>
          <w:tcPr>
            <w:tcW w:w="532" w:type="dxa"/>
            <w:tcBorders>
              <w:top w:val="single" w:color="000000" w:sz="4" w:space="0"/>
              <w:left w:val="single" w:color="000000" w:sz="4" w:space="0"/>
              <w:bottom w:val="nil"/>
              <w:right w:val="single" w:color="000000" w:sz="4" w:space="0"/>
            </w:tcBorders>
            <w:shd w:val="clear" w:color="auto" w:fill="auto"/>
            <w:vAlign w:val="center"/>
          </w:tcPr>
          <w:p w14:paraId="56713B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164959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950" w:type="dxa"/>
            <w:tcBorders>
              <w:top w:val="single" w:color="000000" w:sz="4" w:space="0"/>
              <w:left w:val="single" w:color="000000" w:sz="4" w:space="0"/>
              <w:bottom w:val="nil"/>
              <w:right w:val="single" w:color="000000" w:sz="4" w:space="0"/>
            </w:tcBorders>
            <w:shd w:val="clear" w:color="auto" w:fill="auto"/>
            <w:vAlign w:val="center"/>
          </w:tcPr>
          <w:p w14:paraId="4A6891BB">
            <w:pPr>
              <w:jc w:val="center"/>
              <w:rPr>
                <w:rFonts w:hint="eastAsia" w:ascii="宋体" w:hAnsi="宋体" w:eastAsia="宋体" w:cs="宋体"/>
                <w:i w:val="0"/>
                <w:iCs w:val="0"/>
                <w:color w:val="000000"/>
                <w:sz w:val="18"/>
                <w:szCs w:val="18"/>
                <w:u w:val="none"/>
              </w:rPr>
            </w:pPr>
          </w:p>
        </w:tc>
      </w:tr>
      <w:tr w14:paraId="233CF3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33" w:type="dxa"/>
            <w:vMerge w:val="continue"/>
            <w:tcBorders>
              <w:top w:val="single" w:color="000000" w:sz="4" w:space="0"/>
              <w:left w:val="single" w:color="000000" w:sz="4" w:space="0"/>
              <w:bottom w:val="nil"/>
              <w:right w:val="single" w:color="000000" w:sz="4" w:space="0"/>
            </w:tcBorders>
            <w:shd w:val="clear" w:color="auto" w:fill="auto"/>
            <w:vAlign w:val="center"/>
          </w:tcPr>
          <w:p w14:paraId="5EB89777">
            <w:pPr>
              <w:jc w:val="center"/>
              <w:rPr>
                <w:rFonts w:hint="eastAsia" w:ascii="宋体" w:hAnsi="宋体" w:eastAsia="宋体" w:cs="宋体"/>
                <w:i w:val="0"/>
                <w:iCs w:val="0"/>
                <w:color w:val="000000"/>
                <w:sz w:val="18"/>
                <w:szCs w:val="18"/>
                <w:u w:val="none"/>
              </w:rPr>
            </w:pPr>
          </w:p>
        </w:tc>
        <w:tc>
          <w:tcPr>
            <w:tcW w:w="766" w:type="dxa"/>
            <w:tcBorders>
              <w:top w:val="single" w:color="000000" w:sz="4" w:space="0"/>
              <w:left w:val="single" w:color="000000" w:sz="4" w:space="0"/>
              <w:bottom w:val="nil"/>
              <w:right w:val="single" w:color="000000" w:sz="4" w:space="0"/>
            </w:tcBorders>
            <w:shd w:val="clear" w:color="auto" w:fill="auto"/>
            <w:vAlign w:val="center"/>
          </w:tcPr>
          <w:p w14:paraId="2F378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700" w:type="dxa"/>
            <w:tcBorders>
              <w:top w:val="single" w:color="000000" w:sz="4" w:space="0"/>
              <w:left w:val="single" w:color="000000" w:sz="4" w:space="0"/>
              <w:bottom w:val="nil"/>
              <w:right w:val="single" w:color="000000" w:sz="4" w:space="0"/>
            </w:tcBorders>
            <w:shd w:val="clear" w:color="auto" w:fill="auto"/>
            <w:vAlign w:val="center"/>
          </w:tcPr>
          <w:p w14:paraId="4ACB79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033" w:type="dxa"/>
            <w:tcBorders>
              <w:top w:val="single" w:color="000000" w:sz="4" w:space="0"/>
              <w:left w:val="single" w:color="000000" w:sz="4" w:space="0"/>
              <w:bottom w:val="nil"/>
              <w:right w:val="single" w:color="000000" w:sz="4" w:space="0"/>
            </w:tcBorders>
            <w:shd w:val="clear" w:color="auto" w:fill="auto"/>
            <w:vAlign w:val="center"/>
          </w:tcPr>
          <w:p w14:paraId="5DEF74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被审计单位满意率</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5FCD2D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03923C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899" w:type="dxa"/>
            <w:tcBorders>
              <w:top w:val="single" w:color="000000" w:sz="4" w:space="0"/>
              <w:left w:val="single" w:color="000000" w:sz="4" w:space="0"/>
              <w:bottom w:val="nil"/>
              <w:right w:val="single" w:color="000000" w:sz="4" w:space="0"/>
            </w:tcBorders>
            <w:shd w:val="clear" w:color="auto" w:fill="auto"/>
            <w:vAlign w:val="center"/>
          </w:tcPr>
          <w:p w14:paraId="4E43CB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04496E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50" w:type="dxa"/>
            <w:tcBorders>
              <w:top w:val="single" w:color="000000" w:sz="4" w:space="0"/>
              <w:left w:val="single" w:color="000000" w:sz="4" w:space="0"/>
              <w:bottom w:val="nil"/>
              <w:right w:val="single" w:color="000000" w:sz="4" w:space="0"/>
            </w:tcBorders>
            <w:shd w:val="clear" w:color="auto" w:fill="auto"/>
            <w:vAlign w:val="center"/>
          </w:tcPr>
          <w:p w14:paraId="6402BC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32" w:type="dxa"/>
            <w:tcBorders>
              <w:top w:val="single" w:color="000000" w:sz="4" w:space="0"/>
              <w:left w:val="single" w:color="000000" w:sz="4" w:space="0"/>
              <w:bottom w:val="nil"/>
              <w:right w:val="single" w:color="000000" w:sz="4" w:space="0"/>
            </w:tcBorders>
            <w:shd w:val="clear" w:color="auto" w:fill="auto"/>
            <w:vAlign w:val="center"/>
          </w:tcPr>
          <w:p w14:paraId="46F0C1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7249F9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50" w:type="dxa"/>
            <w:tcBorders>
              <w:top w:val="single" w:color="000000" w:sz="4" w:space="0"/>
              <w:left w:val="single" w:color="000000" w:sz="4" w:space="0"/>
              <w:bottom w:val="nil"/>
              <w:right w:val="single" w:color="000000" w:sz="4" w:space="0"/>
            </w:tcBorders>
            <w:shd w:val="clear" w:color="auto" w:fill="auto"/>
            <w:vAlign w:val="center"/>
          </w:tcPr>
          <w:p w14:paraId="0896FDA2">
            <w:pPr>
              <w:jc w:val="center"/>
              <w:rPr>
                <w:rFonts w:hint="eastAsia" w:ascii="宋体" w:hAnsi="宋体" w:eastAsia="宋体" w:cs="宋体"/>
                <w:i w:val="0"/>
                <w:iCs w:val="0"/>
                <w:color w:val="000000"/>
                <w:sz w:val="18"/>
                <w:szCs w:val="18"/>
                <w:u w:val="none"/>
              </w:rPr>
            </w:pPr>
          </w:p>
        </w:tc>
      </w:tr>
      <w:tr w14:paraId="354A5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6995"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6AEF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5E1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7E6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A8AB">
            <w:pPr>
              <w:jc w:val="center"/>
              <w:rPr>
                <w:rFonts w:hint="eastAsia" w:ascii="宋体" w:hAnsi="宋体" w:eastAsia="宋体" w:cs="宋体"/>
                <w:i w:val="0"/>
                <w:iCs w:val="0"/>
                <w:color w:val="000000"/>
                <w:sz w:val="18"/>
                <w:szCs w:val="18"/>
                <w:u w:val="none"/>
              </w:rPr>
            </w:pPr>
          </w:p>
        </w:tc>
      </w:tr>
    </w:tbl>
    <w:p w14:paraId="5557A3DA">
      <w:pPr>
        <w:pStyle w:val="28"/>
        <w:widowControl/>
        <w:spacing w:before="240" w:after="240" w:line="560" w:lineRule="atLeast"/>
        <w:jc w:val="left"/>
        <w:rPr>
          <w:rFonts w:hint="eastAsia" w:ascii="FangSong_GB2312" w:hAnsi="FangSong_GB2312" w:eastAsia="FangSong_GB2312" w:cs="FangSong_GB2312"/>
          <w:color w:val="auto"/>
          <w:kern w:val="0"/>
          <w:sz w:val="32"/>
          <w:szCs w:val="32"/>
          <w:lang w:eastAsia="zh-CN"/>
        </w:rPr>
      </w:pPr>
    </w:p>
    <w:tbl>
      <w:tblPr>
        <w:tblStyle w:val="18"/>
        <w:tblW w:w="88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1"/>
        <w:gridCol w:w="627"/>
        <w:gridCol w:w="704"/>
        <w:gridCol w:w="1290"/>
        <w:gridCol w:w="809"/>
        <w:gridCol w:w="779"/>
        <w:gridCol w:w="666"/>
        <w:gridCol w:w="642"/>
        <w:gridCol w:w="596"/>
        <w:gridCol w:w="512"/>
        <w:gridCol w:w="666"/>
        <w:gridCol w:w="933"/>
      </w:tblGrid>
      <w:tr w14:paraId="7CAB2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8840"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0C915BC">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14:paraId="525FF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2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F508A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7559"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728CC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审计业务经费</w:t>
            </w:r>
          </w:p>
        </w:tc>
      </w:tr>
      <w:tr w14:paraId="5FF83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2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51869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731"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9A410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赤峰市松山区审计局（部门）</w:t>
            </w:r>
          </w:p>
        </w:tc>
        <w:tc>
          <w:tcPr>
            <w:tcW w:w="13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46560D">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24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C320F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赤峰市松山区审计局</w:t>
            </w:r>
          </w:p>
        </w:tc>
      </w:tr>
      <w:tr w14:paraId="61D6E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2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E68F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95207">
            <w:pP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5D2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F55A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3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844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228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9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40C9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BF3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1F68E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2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780DE">
            <w:pPr>
              <w:jc w:val="center"/>
              <w:rPr>
                <w:rFonts w:hint="eastAsia" w:ascii="宋体" w:hAnsi="宋体" w:eastAsia="宋体" w:cs="宋体"/>
                <w:i w:val="0"/>
                <w:iCs w:val="0"/>
                <w:color w:val="000000"/>
                <w:sz w:val="18"/>
                <w:szCs w:val="18"/>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382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CD0C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47.88</w:t>
            </w: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6928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47.88</w:t>
            </w:r>
          </w:p>
        </w:tc>
        <w:tc>
          <w:tcPr>
            <w:tcW w:w="13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B467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46.16</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E2E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466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96.41</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801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9.64</w:t>
            </w:r>
          </w:p>
        </w:tc>
      </w:tr>
      <w:tr w14:paraId="084002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2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0DE089">
            <w:pPr>
              <w:jc w:val="center"/>
              <w:rPr>
                <w:rFonts w:hint="eastAsia" w:ascii="宋体" w:hAnsi="宋体" w:eastAsia="宋体" w:cs="宋体"/>
                <w:i w:val="0"/>
                <w:iCs w:val="0"/>
                <w:color w:val="000000"/>
                <w:sz w:val="18"/>
                <w:szCs w:val="18"/>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BC77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73D8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47.88</w:t>
            </w: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6977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47.88</w:t>
            </w:r>
          </w:p>
        </w:tc>
        <w:tc>
          <w:tcPr>
            <w:tcW w:w="13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751F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46.16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2649E">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9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2A86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96.41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7D1D43">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2E6BCB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2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BC799B">
            <w:pPr>
              <w:jc w:val="center"/>
              <w:rPr>
                <w:rFonts w:hint="eastAsia" w:ascii="宋体" w:hAnsi="宋体" w:eastAsia="宋体" w:cs="宋体"/>
                <w:i w:val="0"/>
                <w:iCs w:val="0"/>
                <w:color w:val="000000"/>
                <w:sz w:val="18"/>
                <w:szCs w:val="18"/>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0B7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E0D0">
            <w:pPr>
              <w:rPr>
                <w:rFonts w:hint="eastAsia" w:ascii="宋体" w:hAnsi="宋体" w:eastAsia="宋体" w:cs="宋体"/>
                <w:i w:val="0"/>
                <w:iCs w:val="0"/>
                <w:color w:val="000000"/>
                <w:sz w:val="18"/>
                <w:szCs w:val="18"/>
                <w:u w:val="none"/>
              </w:rPr>
            </w:pP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F40E85">
            <w:pPr>
              <w:jc w:val="center"/>
              <w:rPr>
                <w:rFonts w:hint="eastAsia" w:ascii="宋体" w:hAnsi="宋体" w:eastAsia="宋体" w:cs="宋体"/>
                <w:i w:val="0"/>
                <w:iCs w:val="0"/>
                <w:color w:val="000000"/>
                <w:sz w:val="18"/>
                <w:szCs w:val="18"/>
                <w:u w:val="none"/>
              </w:rPr>
            </w:pPr>
          </w:p>
        </w:tc>
        <w:tc>
          <w:tcPr>
            <w:tcW w:w="13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1AC883">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DA8948">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9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22FF7">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AA0CE">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77E8FD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2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F7226">
            <w:pPr>
              <w:jc w:val="center"/>
              <w:rPr>
                <w:rFonts w:hint="eastAsia" w:ascii="宋体" w:hAnsi="宋体" w:eastAsia="宋体" w:cs="宋体"/>
                <w:i w:val="0"/>
                <w:iCs w:val="0"/>
                <w:color w:val="000000"/>
                <w:sz w:val="18"/>
                <w:szCs w:val="18"/>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EBB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C8ED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6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6B8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33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8A38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5D334">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98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D220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6A01C6">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7D9664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28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9CB2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3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7DFE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1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B20B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1F746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128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BEF339">
            <w:pPr>
              <w:jc w:val="center"/>
              <w:rPr>
                <w:rFonts w:hint="eastAsia" w:ascii="宋体" w:hAnsi="宋体" w:eastAsia="宋体" w:cs="宋体"/>
                <w:i w:val="0"/>
                <w:iCs w:val="0"/>
                <w:color w:val="000000"/>
                <w:sz w:val="18"/>
                <w:szCs w:val="18"/>
                <w:u w:val="none"/>
              </w:rPr>
            </w:pPr>
          </w:p>
        </w:tc>
        <w:tc>
          <w:tcPr>
            <w:tcW w:w="439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D520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本单位本年度拟计划申请50万审计业务活动经费，主要用于审计业务相关活动支出，保障审计业务顺利有序开展。</w:t>
            </w:r>
          </w:p>
        </w:tc>
        <w:tc>
          <w:tcPr>
            <w:tcW w:w="316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24FD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r>
      <w:tr w14:paraId="0AF3F8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FCE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6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904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70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E5C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8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E55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8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2AA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FAA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6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658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5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D42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26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E8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46D9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66F29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32" w:type="dxa"/>
            <w:vMerge w:val="restart"/>
            <w:tcBorders>
              <w:top w:val="single" w:color="000000" w:sz="4" w:space="0"/>
              <w:left w:val="single" w:color="000000" w:sz="4" w:space="0"/>
              <w:bottom w:val="nil"/>
              <w:right w:val="single" w:color="000000" w:sz="4" w:space="0"/>
            </w:tcBorders>
            <w:shd w:val="clear" w:color="auto" w:fill="auto"/>
            <w:vAlign w:val="center"/>
          </w:tcPr>
          <w:p w14:paraId="47EBB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649" w:type="dxa"/>
            <w:vMerge w:val="restart"/>
            <w:tcBorders>
              <w:top w:val="single" w:color="000000" w:sz="4" w:space="0"/>
              <w:left w:val="single" w:color="000000" w:sz="4" w:space="0"/>
              <w:bottom w:val="nil"/>
              <w:right w:val="single" w:color="000000" w:sz="4" w:space="0"/>
            </w:tcBorders>
            <w:shd w:val="clear" w:color="auto" w:fill="auto"/>
            <w:vAlign w:val="center"/>
          </w:tcPr>
          <w:p w14:paraId="207664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716" w:type="dxa"/>
            <w:vMerge w:val="restart"/>
            <w:tcBorders>
              <w:top w:val="single" w:color="000000" w:sz="4" w:space="0"/>
              <w:left w:val="single" w:color="000000" w:sz="4" w:space="0"/>
              <w:bottom w:val="nil"/>
              <w:right w:val="single" w:color="000000" w:sz="4" w:space="0"/>
            </w:tcBorders>
            <w:shd w:val="clear" w:color="auto" w:fill="auto"/>
            <w:vAlign w:val="center"/>
          </w:tcPr>
          <w:p w14:paraId="778E23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350" w:type="dxa"/>
            <w:tcBorders>
              <w:top w:val="single" w:color="000000" w:sz="4" w:space="0"/>
              <w:left w:val="single" w:color="000000" w:sz="4" w:space="0"/>
              <w:bottom w:val="nil"/>
              <w:right w:val="single" w:color="000000" w:sz="4" w:space="0"/>
            </w:tcBorders>
            <w:shd w:val="clear" w:color="auto" w:fill="auto"/>
            <w:vAlign w:val="center"/>
          </w:tcPr>
          <w:p w14:paraId="4EE3F6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审计干部培训次数</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7CFA54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6DAB1D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4784B6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0E99CF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7FA59A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515" w:type="dxa"/>
            <w:tcBorders>
              <w:top w:val="single" w:color="000000" w:sz="4" w:space="0"/>
              <w:left w:val="single" w:color="000000" w:sz="4" w:space="0"/>
              <w:bottom w:val="nil"/>
              <w:right w:val="single" w:color="000000" w:sz="4" w:space="0"/>
            </w:tcBorders>
            <w:shd w:val="clear" w:color="auto" w:fill="auto"/>
            <w:vAlign w:val="center"/>
          </w:tcPr>
          <w:p w14:paraId="5FEB96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66" w:type="dxa"/>
            <w:tcBorders>
              <w:top w:val="single" w:color="000000" w:sz="4" w:space="0"/>
              <w:left w:val="single" w:color="000000" w:sz="4" w:space="0"/>
              <w:bottom w:val="nil"/>
              <w:right w:val="single" w:color="000000" w:sz="4" w:space="0"/>
            </w:tcBorders>
            <w:shd w:val="clear" w:color="auto" w:fill="auto"/>
            <w:vAlign w:val="center"/>
          </w:tcPr>
          <w:p w14:paraId="707A31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000E94EB">
            <w:pPr>
              <w:jc w:val="center"/>
              <w:rPr>
                <w:rFonts w:hint="eastAsia" w:ascii="宋体" w:hAnsi="宋体" w:eastAsia="宋体" w:cs="宋体"/>
                <w:i w:val="0"/>
                <w:iCs w:val="0"/>
                <w:color w:val="000000"/>
                <w:sz w:val="18"/>
                <w:szCs w:val="18"/>
                <w:u w:val="none"/>
              </w:rPr>
            </w:pPr>
          </w:p>
        </w:tc>
      </w:tr>
      <w:tr w14:paraId="5333E5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32" w:type="dxa"/>
            <w:vMerge w:val="continue"/>
            <w:tcBorders>
              <w:top w:val="single" w:color="000000" w:sz="4" w:space="0"/>
              <w:left w:val="single" w:color="000000" w:sz="4" w:space="0"/>
              <w:bottom w:val="nil"/>
              <w:right w:val="single" w:color="000000" w:sz="4" w:space="0"/>
            </w:tcBorders>
            <w:shd w:val="clear" w:color="auto" w:fill="auto"/>
            <w:vAlign w:val="center"/>
          </w:tcPr>
          <w:p w14:paraId="221C5967">
            <w:pPr>
              <w:jc w:val="center"/>
              <w:rPr>
                <w:rFonts w:hint="eastAsia" w:ascii="宋体" w:hAnsi="宋体" w:eastAsia="宋体" w:cs="宋体"/>
                <w:i w:val="0"/>
                <w:iCs w:val="0"/>
                <w:color w:val="000000"/>
                <w:sz w:val="18"/>
                <w:szCs w:val="18"/>
                <w:u w:val="none"/>
              </w:rPr>
            </w:pPr>
          </w:p>
        </w:tc>
        <w:tc>
          <w:tcPr>
            <w:tcW w:w="649" w:type="dxa"/>
            <w:vMerge w:val="continue"/>
            <w:tcBorders>
              <w:top w:val="single" w:color="000000" w:sz="4" w:space="0"/>
              <w:left w:val="single" w:color="000000" w:sz="4" w:space="0"/>
              <w:bottom w:val="nil"/>
              <w:right w:val="single" w:color="000000" w:sz="4" w:space="0"/>
            </w:tcBorders>
            <w:shd w:val="clear" w:color="auto" w:fill="auto"/>
            <w:vAlign w:val="center"/>
          </w:tcPr>
          <w:p w14:paraId="2A7378F0">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nil"/>
              <w:right w:val="single" w:color="000000" w:sz="4" w:space="0"/>
            </w:tcBorders>
            <w:shd w:val="clear" w:color="auto" w:fill="auto"/>
            <w:vAlign w:val="center"/>
          </w:tcPr>
          <w:p w14:paraId="63B965EC">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nil"/>
              <w:right w:val="single" w:color="000000" w:sz="4" w:space="0"/>
            </w:tcBorders>
            <w:shd w:val="clear" w:color="auto" w:fill="auto"/>
            <w:vAlign w:val="center"/>
          </w:tcPr>
          <w:p w14:paraId="40110E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购买办公用品次数</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536AA5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6D1112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4FD7E3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22CFB5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46AC5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515" w:type="dxa"/>
            <w:tcBorders>
              <w:top w:val="single" w:color="000000" w:sz="4" w:space="0"/>
              <w:left w:val="single" w:color="000000" w:sz="4" w:space="0"/>
              <w:bottom w:val="nil"/>
              <w:right w:val="single" w:color="000000" w:sz="4" w:space="0"/>
            </w:tcBorders>
            <w:shd w:val="clear" w:color="auto" w:fill="auto"/>
            <w:vAlign w:val="center"/>
          </w:tcPr>
          <w:p w14:paraId="78575E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66" w:type="dxa"/>
            <w:tcBorders>
              <w:top w:val="single" w:color="000000" w:sz="4" w:space="0"/>
              <w:left w:val="single" w:color="000000" w:sz="4" w:space="0"/>
              <w:bottom w:val="nil"/>
              <w:right w:val="single" w:color="000000" w:sz="4" w:space="0"/>
            </w:tcBorders>
            <w:shd w:val="clear" w:color="auto" w:fill="auto"/>
            <w:vAlign w:val="center"/>
          </w:tcPr>
          <w:p w14:paraId="2073B5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7E6B838D">
            <w:pPr>
              <w:jc w:val="center"/>
              <w:rPr>
                <w:rFonts w:hint="eastAsia" w:ascii="宋体" w:hAnsi="宋体" w:eastAsia="宋体" w:cs="宋体"/>
                <w:i w:val="0"/>
                <w:iCs w:val="0"/>
                <w:color w:val="000000"/>
                <w:sz w:val="18"/>
                <w:szCs w:val="18"/>
                <w:u w:val="none"/>
              </w:rPr>
            </w:pPr>
          </w:p>
        </w:tc>
      </w:tr>
      <w:tr w14:paraId="14BCD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632" w:type="dxa"/>
            <w:vMerge w:val="continue"/>
            <w:tcBorders>
              <w:top w:val="single" w:color="000000" w:sz="4" w:space="0"/>
              <w:left w:val="single" w:color="000000" w:sz="4" w:space="0"/>
              <w:bottom w:val="nil"/>
              <w:right w:val="single" w:color="000000" w:sz="4" w:space="0"/>
            </w:tcBorders>
            <w:shd w:val="clear" w:color="auto" w:fill="auto"/>
            <w:vAlign w:val="center"/>
          </w:tcPr>
          <w:p w14:paraId="05F41943">
            <w:pPr>
              <w:jc w:val="center"/>
              <w:rPr>
                <w:rFonts w:hint="eastAsia" w:ascii="宋体" w:hAnsi="宋体" w:eastAsia="宋体" w:cs="宋体"/>
                <w:i w:val="0"/>
                <w:iCs w:val="0"/>
                <w:color w:val="000000"/>
                <w:sz w:val="18"/>
                <w:szCs w:val="18"/>
                <w:u w:val="none"/>
              </w:rPr>
            </w:pPr>
          </w:p>
        </w:tc>
        <w:tc>
          <w:tcPr>
            <w:tcW w:w="649" w:type="dxa"/>
            <w:vMerge w:val="continue"/>
            <w:tcBorders>
              <w:top w:val="single" w:color="000000" w:sz="4" w:space="0"/>
              <w:left w:val="single" w:color="000000" w:sz="4" w:space="0"/>
              <w:bottom w:val="nil"/>
              <w:right w:val="single" w:color="000000" w:sz="4" w:space="0"/>
            </w:tcBorders>
            <w:shd w:val="clear" w:color="auto" w:fill="auto"/>
            <w:vAlign w:val="center"/>
          </w:tcPr>
          <w:p w14:paraId="16D95351">
            <w:pPr>
              <w:jc w:val="center"/>
              <w:rPr>
                <w:rFonts w:hint="eastAsia" w:ascii="宋体" w:hAnsi="宋体" w:eastAsia="宋体" w:cs="宋体"/>
                <w:i w:val="0"/>
                <w:iCs w:val="0"/>
                <w:color w:val="000000"/>
                <w:sz w:val="18"/>
                <w:szCs w:val="18"/>
                <w:u w:val="none"/>
              </w:rPr>
            </w:pPr>
          </w:p>
        </w:tc>
        <w:tc>
          <w:tcPr>
            <w:tcW w:w="716" w:type="dxa"/>
            <w:vMerge w:val="restart"/>
            <w:tcBorders>
              <w:top w:val="single" w:color="000000" w:sz="4" w:space="0"/>
              <w:left w:val="single" w:color="000000" w:sz="4" w:space="0"/>
              <w:bottom w:val="nil"/>
              <w:right w:val="single" w:color="000000" w:sz="4" w:space="0"/>
            </w:tcBorders>
            <w:shd w:val="clear" w:color="auto" w:fill="auto"/>
            <w:vAlign w:val="center"/>
          </w:tcPr>
          <w:p w14:paraId="09D9512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350" w:type="dxa"/>
            <w:tcBorders>
              <w:top w:val="single" w:color="000000" w:sz="4" w:space="0"/>
              <w:left w:val="single" w:color="000000" w:sz="4" w:space="0"/>
              <w:bottom w:val="nil"/>
              <w:right w:val="single" w:color="000000" w:sz="4" w:space="0"/>
            </w:tcBorders>
            <w:shd w:val="clear" w:color="auto" w:fill="auto"/>
            <w:vAlign w:val="center"/>
          </w:tcPr>
          <w:p w14:paraId="570B42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审计干部培训合格率</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36ECC8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576E76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2997B3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634F2F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26E63D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15" w:type="dxa"/>
            <w:tcBorders>
              <w:top w:val="single" w:color="000000" w:sz="4" w:space="0"/>
              <w:left w:val="single" w:color="000000" w:sz="4" w:space="0"/>
              <w:bottom w:val="nil"/>
              <w:right w:val="single" w:color="000000" w:sz="4" w:space="0"/>
            </w:tcBorders>
            <w:shd w:val="clear" w:color="auto" w:fill="auto"/>
            <w:vAlign w:val="center"/>
          </w:tcPr>
          <w:p w14:paraId="409955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466" w:type="dxa"/>
            <w:tcBorders>
              <w:top w:val="single" w:color="000000" w:sz="4" w:space="0"/>
              <w:left w:val="single" w:color="000000" w:sz="4" w:space="0"/>
              <w:bottom w:val="nil"/>
              <w:right w:val="single" w:color="000000" w:sz="4" w:space="0"/>
            </w:tcBorders>
            <w:shd w:val="clear" w:color="auto" w:fill="auto"/>
            <w:vAlign w:val="center"/>
          </w:tcPr>
          <w:p w14:paraId="644984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2E6988D2">
            <w:pPr>
              <w:jc w:val="center"/>
              <w:rPr>
                <w:rFonts w:hint="eastAsia" w:ascii="宋体" w:hAnsi="宋体" w:eastAsia="宋体" w:cs="宋体"/>
                <w:i w:val="0"/>
                <w:iCs w:val="0"/>
                <w:color w:val="000000"/>
                <w:sz w:val="18"/>
                <w:szCs w:val="18"/>
                <w:u w:val="none"/>
              </w:rPr>
            </w:pPr>
          </w:p>
        </w:tc>
      </w:tr>
      <w:tr w14:paraId="01E1D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632" w:type="dxa"/>
            <w:vMerge w:val="continue"/>
            <w:tcBorders>
              <w:top w:val="single" w:color="000000" w:sz="4" w:space="0"/>
              <w:left w:val="single" w:color="000000" w:sz="4" w:space="0"/>
              <w:bottom w:val="nil"/>
              <w:right w:val="single" w:color="000000" w:sz="4" w:space="0"/>
            </w:tcBorders>
            <w:shd w:val="clear" w:color="auto" w:fill="auto"/>
            <w:vAlign w:val="center"/>
          </w:tcPr>
          <w:p w14:paraId="66128898">
            <w:pPr>
              <w:jc w:val="center"/>
              <w:rPr>
                <w:rFonts w:hint="eastAsia" w:ascii="宋体" w:hAnsi="宋体" w:eastAsia="宋体" w:cs="宋体"/>
                <w:i w:val="0"/>
                <w:iCs w:val="0"/>
                <w:color w:val="000000"/>
                <w:sz w:val="18"/>
                <w:szCs w:val="18"/>
                <w:u w:val="none"/>
              </w:rPr>
            </w:pPr>
          </w:p>
        </w:tc>
        <w:tc>
          <w:tcPr>
            <w:tcW w:w="649" w:type="dxa"/>
            <w:vMerge w:val="continue"/>
            <w:tcBorders>
              <w:top w:val="single" w:color="000000" w:sz="4" w:space="0"/>
              <w:left w:val="single" w:color="000000" w:sz="4" w:space="0"/>
              <w:bottom w:val="nil"/>
              <w:right w:val="single" w:color="000000" w:sz="4" w:space="0"/>
            </w:tcBorders>
            <w:shd w:val="clear" w:color="auto" w:fill="auto"/>
            <w:vAlign w:val="center"/>
          </w:tcPr>
          <w:p w14:paraId="7E9C54FC">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nil"/>
              <w:right w:val="single" w:color="000000" w:sz="4" w:space="0"/>
            </w:tcBorders>
            <w:shd w:val="clear" w:color="auto" w:fill="auto"/>
            <w:vAlign w:val="center"/>
          </w:tcPr>
          <w:p w14:paraId="666BF431">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nil"/>
              <w:right w:val="single" w:color="000000" w:sz="4" w:space="0"/>
            </w:tcBorders>
            <w:shd w:val="clear" w:color="auto" w:fill="auto"/>
            <w:vAlign w:val="center"/>
          </w:tcPr>
          <w:p w14:paraId="10EE42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购置办公用品合格率</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6AC06F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09017E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088A83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63E0C3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19D678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15" w:type="dxa"/>
            <w:tcBorders>
              <w:top w:val="single" w:color="000000" w:sz="4" w:space="0"/>
              <w:left w:val="single" w:color="000000" w:sz="4" w:space="0"/>
              <w:bottom w:val="nil"/>
              <w:right w:val="single" w:color="000000" w:sz="4" w:space="0"/>
            </w:tcBorders>
            <w:shd w:val="clear" w:color="auto" w:fill="auto"/>
            <w:vAlign w:val="center"/>
          </w:tcPr>
          <w:p w14:paraId="4F65E8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466" w:type="dxa"/>
            <w:tcBorders>
              <w:top w:val="single" w:color="000000" w:sz="4" w:space="0"/>
              <w:left w:val="single" w:color="000000" w:sz="4" w:space="0"/>
              <w:bottom w:val="nil"/>
              <w:right w:val="single" w:color="000000" w:sz="4" w:space="0"/>
            </w:tcBorders>
            <w:shd w:val="clear" w:color="auto" w:fill="auto"/>
            <w:vAlign w:val="center"/>
          </w:tcPr>
          <w:p w14:paraId="3F0808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44D3DDAB">
            <w:pPr>
              <w:jc w:val="center"/>
              <w:rPr>
                <w:rFonts w:hint="eastAsia" w:ascii="宋体" w:hAnsi="宋体" w:eastAsia="宋体" w:cs="宋体"/>
                <w:i w:val="0"/>
                <w:iCs w:val="0"/>
                <w:color w:val="000000"/>
                <w:sz w:val="18"/>
                <w:szCs w:val="18"/>
                <w:u w:val="none"/>
              </w:rPr>
            </w:pPr>
          </w:p>
        </w:tc>
      </w:tr>
      <w:tr w14:paraId="01D91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632" w:type="dxa"/>
            <w:vMerge w:val="continue"/>
            <w:tcBorders>
              <w:top w:val="single" w:color="000000" w:sz="4" w:space="0"/>
              <w:left w:val="single" w:color="000000" w:sz="4" w:space="0"/>
              <w:bottom w:val="nil"/>
              <w:right w:val="single" w:color="000000" w:sz="4" w:space="0"/>
            </w:tcBorders>
            <w:shd w:val="clear" w:color="auto" w:fill="auto"/>
            <w:vAlign w:val="center"/>
          </w:tcPr>
          <w:p w14:paraId="67AA7B7B">
            <w:pPr>
              <w:jc w:val="center"/>
              <w:rPr>
                <w:rFonts w:hint="eastAsia" w:ascii="宋体" w:hAnsi="宋体" w:eastAsia="宋体" w:cs="宋体"/>
                <w:i w:val="0"/>
                <w:iCs w:val="0"/>
                <w:color w:val="000000"/>
                <w:sz w:val="18"/>
                <w:szCs w:val="18"/>
                <w:u w:val="none"/>
              </w:rPr>
            </w:pPr>
          </w:p>
        </w:tc>
        <w:tc>
          <w:tcPr>
            <w:tcW w:w="649" w:type="dxa"/>
            <w:vMerge w:val="continue"/>
            <w:tcBorders>
              <w:top w:val="single" w:color="000000" w:sz="4" w:space="0"/>
              <w:left w:val="single" w:color="000000" w:sz="4" w:space="0"/>
              <w:bottom w:val="nil"/>
              <w:right w:val="single" w:color="000000" w:sz="4" w:space="0"/>
            </w:tcBorders>
            <w:shd w:val="clear" w:color="auto" w:fill="auto"/>
            <w:vAlign w:val="center"/>
          </w:tcPr>
          <w:p w14:paraId="680E0FE9">
            <w:pPr>
              <w:jc w:val="center"/>
              <w:rPr>
                <w:rFonts w:hint="eastAsia" w:ascii="宋体" w:hAnsi="宋体" w:eastAsia="宋体" w:cs="宋体"/>
                <w:i w:val="0"/>
                <w:iCs w:val="0"/>
                <w:color w:val="000000"/>
                <w:sz w:val="18"/>
                <w:szCs w:val="18"/>
                <w:u w:val="none"/>
              </w:rPr>
            </w:pPr>
          </w:p>
        </w:tc>
        <w:tc>
          <w:tcPr>
            <w:tcW w:w="716" w:type="dxa"/>
            <w:vMerge w:val="restart"/>
            <w:tcBorders>
              <w:top w:val="single" w:color="000000" w:sz="4" w:space="0"/>
              <w:left w:val="single" w:color="000000" w:sz="4" w:space="0"/>
              <w:bottom w:val="nil"/>
              <w:right w:val="single" w:color="000000" w:sz="4" w:space="0"/>
            </w:tcBorders>
            <w:shd w:val="clear" w:color="auto" w:fill="auto"/>
            <w:vAlign w:val="center"/>
          </w:tcPr>
          <w:p w14:paraId="1883C0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350" w:type="dxa"/>
            <w:tcBorders>
              <w:top w:val="single" w:color="000000" w:sz="4" w:space="0"/>
              <w:left w:val="single" w:color="000000" w:sz="4" w:space="0"/>
              <w:bottom w:val="nil"/>
              <w:right w:val="single" w:color="000000" w:sz="4" w:space="0"/>
            </w:tcBorders>
            <w:shd w:val="clear" w:color="auto" w:fill="auto"/>
            <w:vAlign w:val="center"/>
          </w:tcPr>
          <w:p w14:paraId="441838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培训时间</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053B2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0D6E31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41D5FC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3A528A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477068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515" w:type="dxa"/>
            <w:tcBorders>
              <w:top w:val="single" w:color="000000" w:sz="4" w:space="0"/>
              <w:left w:val="single" w:color="000000" w:sz="4" w:space="0"/>
              <w:bottom w:val="nil"/>
              <w:right w:val="single" w:color="000000" w:sz="4" w:space="0"/>
            </w:tcBorders>
            <w:shd w:val="clear" w:color="auto" w:fill="auto"/>
            <w:vAlign w:val="center"/>
          </w:tcPr>
          <w:p w14:paraId="7DEAB0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66" w:type="dxa"/>
            <w:tcBorders>
              <w:top w:val="single" w:color="000000" w:sz="4" w:space="0"/>
              <w:left w:val="single" w:color="000000" w:sz="4" w:space="0"/>
              <w:bottom w:val="nil"/>
              <w:right w:val="single" w:color="000000" w:sz="4" w:space="0"/>
            </w:tcBorders>
            <w:shd w:val="clear" w:color="auto" w:fill="auto"/>
            <w:vAlign w:val="center"/>
          </w:tcPr>
          <w:p w14:paraId="5937A5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35F69729">
            <w:pPr>
              <w:jc w:val="center"/>
              <w:rPr>
                <w:rFonts w:hint="eastAsia" w:ascii="宋体" w:hAnsi="宋体" w:eastAsia="宋体" w:cs="宋体"/>
                <w:i w:val="0"/>
                <w:iCs w:val="0"/>
                <w:color w:val="000000"/>
                <w:sz w:val="18"/>
                <w:szCs w:val="18"/>
                <w:u w:val="none"/>
              </w:rPr>
            </w:pPr>
          </w:p>
        </w:tc>
      </w:tr>
      <w:tr w14:paraId="6B66A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632" w:type="dxa"/>
            <w:vMerge w:val="continue"/>
            <w:tcBorders>
              <w:top w:val="single" w:color="000000" w:sz="4" w:space="0"/>
              <w:left w:val="single" w:color="000000" w:sz="4" w:space="0"/>
              <w:bottom w:val="nil"/>
              <w:right w:val="single" w:color="000000" w:sz="4" w:space="0"/>
            </w:tcBorders>
            <w:shd w:val="clear" w:color="auto" w:fill="auto"/>
            <w:vAlign w:val="center"/>
          </w:tcPr>
          <w:p w14:paraId="57481027">
            <w:pPr>
              <w:jc w:val="center"/>
              <w:rPr>
                <w:rFonts w:hint="eastAsia" w:ascii="宋体" w:hAnsi="宋体" w:eastAsia="宋体" w:cs="宋体"/>
                <w:i w:val="0"/>
                <w:iCs w:val="0"/>
                <w:color w:val="000000"/>
                <w:sz w:val="18"/>
                <w:szCs w:val="18"/>
                <w:u w:val="none"/>
              </w:rPr>
            </w:pPr>
          </w:p>
        </w:tc>
        <w:tc>
          <w:tcPr>
            <w:tcW w:w="649" w:type="dxa"/>
            <w:vMerge w:val="continue"/>
            <w:tcBorders>
              <w:top w:val="single" w:color="000000" w:sz="4" w:space="0"/>
              <w:left w:val="single" w:color="000000" w:sz="4" w:space="0"/>
              <w:bottom w:val="nil"/>
              <w:right w:val="single" w:color="000000" w:sz="4" w:space="0"/>
            </w:tcBorders>
            <w:shd w:val="clear" w:color="auto" w:fill="auto"/>
            <w:vAlign w:val="center"/>
          </w:tcPr>
          <w:p w14:paraId="40E91072">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nil"/>
              <w:right w:val="single" w:color="000000" w:sz="4" w:space="0"/>
            </w:tcBorders>
            <w:shd w:val="clear" w:color="auto" w:fill="auto"/>
            <w:vAlign w:val="center"/>
          </w:tcPr>
          <w:p w14:paraId="432D5544">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nil"/>
              <w:right w:val="single" w:color="000000" w:sz="4" w:space="0"/>
            </w:tcBorders>
            <w:shd w:val="clear" w:color="auto" w:fill="auto"/>
            <w:vAlign w:val="center"/>
          </w:tcPr>
          <w:p w14:paraId="644C8A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办公费支出时间</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27163B5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4FBB6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6061DB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11996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05093A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w:t>
            </w:r>
          </w:p>
        </w:tc>
        <w:tc>
          <w:tcPr>
            <w:tcW w:w="515" w:type="dxa"/>
            <w:tcBorders>
              <w:top w:val="single" w:color="000000" w:sz="4" w:space="0"/>
              <w:left w:val="single" w:color="000000" w:sz="4" w:space="0"/>
              <w:bottom w:val="nil"/>
              <w:right w:val="single" w:color="000000" w:sz="4" w:space="0"/>
            </w:tcBorders>
            <w:shd w:val="clear" w:color="auto" w:fill="auto"/>
            <w:vAlign w:val="center"/>
          </w:tcPr>
          <w:p w14:paraId="7AE6A2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66" w:type="dxa"/>
            <w:tcBorders>
              <w:top w:val="single" w:color="000000" w:sz="4" w:space="0"/>
              <w:left w:val="single" w:color="000000" w:sz="4" w:space="0"/>
              <w:bottom w:val="nil"/>
              <w:right w:val="single" w:color="000000" w:sz="4" w:space="0"/>
            </w:tcBorders>
            <w:shd w:val="clear" w:color="auto" w:fill="auto"/>
            <w:vAlign w:val="center"/>
          </w:tcPr>
          <w:p w14:paraId="212355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24A1FBB8">
            <w:pPr>
              <w:jc w:val="center"/>
              <w:rPr>
                <w:rFonts w:hint="eastAsia" w:ascii="宋体" w:hAnsi="宋体" w:eastAsia="宋体" w:cs="宋体"/>
                <w:i w:val="0"/>
                <w:iCs w:val="0"/>
                <w:color w:val="000000"/>
                <w:sz w:val="18"/>
                <w:szCs w:val="18"/>
                <w:u w:val="none"/>
              </w:rPr>
            </w:pPr>
          </w:p>
        </w:tc>
      </w:tr>
      <w:tr w14:paraId="1EB25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632" w:type="dxa"/>
            <w:vMerge w:val="continue"/>
            <w:tcBorders>
              <w:top w:val="single" w:color="000000" w:sz="4" w:space="0"/>
              <w:left w:val="single" w:color="000000" w:sz="4" w:space="0"/>
              <w:bottom w:val="nil"/>
              <w:right w:val="single" w:color="000000" w:sz="4" w:space="0"/>
            </w:tcBorders>
            <w:shd w:val="clear" w:color="auto" w:fill="auto"/>
            <w:vAlign w:val="center"/>
          </w:tcPr>
          <w:p w14:paraId="77E60A7A">
            <w:pPr>
              <w:jc w:val="center"/>
              <w:rPr>
                <w:rFonts w:hint="eastAsia" w:ascii="宋体" w:hAnsi="宋体" w:eastAsia="宋体" w:cs="宋体"/>
                <w:i w:val="0"/>
                <w:iCs w:val="0"/>
                <w:color w:val="000000"/>
                <w:sz w:val="18"/>
                <w:szCs w:val="18"/>
                <w:u w:val="none"/>
              </w:rPr>
            </w:pPr>
          </w:p>
        </w:tc>
        <w:tc>
          <w:tcPr>
            <w:tcW w:w="649" w:type="dxa"/>
            <w:vMerge w:val="continue"/>
            <w:tcBorders>
              <w:top w:val="single" w:color="000000" w:sz="4" w:space="0"/>
              <w:left w:val="single" w:color="000000" w:sz="4" w:space="0"/>
              <w:bottom w:val="nil"/>
              <w:right w:val="single" w:color="000000" w:sz="4" w:space="0"/>
            </w:tcBorders>
            <w:shd w:val="clear" w:color="auto" w:fill="auto"/>
            <w:vAlign w:val="center"/>
          </w:tcPr>
          <w:p w14:paraId="4F198711">
            <w:pPr>
              <w:jc w:val="center"/>
              <w:rPr>
                <w:rFonts w:hint="eastAsia" w:ascii="宋体" w:hAnsi="宋体" w:eastAsia="宋体" w:cs="宋体"/>
                <w:i w:val="0"/>
                <w:iCs w:val="0"/>
                <w:color w:val="000000"/>
                <w:sz w:val="18"/>
                <w:szCs w:val="18"/>
                <w:u w:val="none"/>
              </w:rPr>
            </w:pPr>
          </w:p>
        </w:tc>
        <w:tc>
          <w:tcPr>
            <w:tcW w:w="716" w:type="dxa"/>
            <w:vMerge w:val="restart"/>
            <w:tcBorders>
              <w:top w:val="single" w:color="000000" w:sz="4" w:space="0"/>
              <w:left w:val="single" w:color="000000" w:sz="4" w:space="0"/>
              <w:bottom w:val="nil"/>
              <w:right w:val="single" w:color="000000" w:sz="4" w:space="0"/>
            </w:tcBorders>
            <w:shd w:val="clear" w:color="auto" w:fill="auto"/>
            <w:vAlign w:val="center"/>
          </w:tcPr>
          <w:p w14:paraId="2CF389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350" w:type="dxa"/>
            <w:tcBorders>
              <w:top w:val="single" w:color="000000" w:sz="4" w:space="0"/>
              <w:left w:val="single" w:color="000000" w:sz="4" w:space="0"/>
              <w:bottom w:val="nil"/>
              <w:right w:val="single" w:color="000000" w:sz="4" w:space="0"/>
            </w:tcBorders>
            <w:shd w:val="clear" w:color="auto" w:fill="auto"/>
            <w:vAlign w:val="center"/>
          </w:tcPr>
          <w:p w14:paraId="2D8368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干部培训支出</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3C4DBA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21A772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0CD552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378228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1BDEC2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515" w:type="dxa"/>
            <w:tcBorders>
              <w:top w:val="single" w:color="000000" w:sz="4" w:space="0"/>
              <w:left w:val="single" w:color="000000" w:sz="4" w:space="0"/>
              <w:bottom w:val="nil"/>
              <w:right w:val="single" w:color="000000" w:sz="4" w:space="0"/>
            </w:tcBorders>
            <w:shd w:val="clear" w:color="auto" w:fill="auto"/>
            <w:vAlign w:val="center"/>
          </w:tcPr>
          <w:p w14:paraId="7F9998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466" w:type="dxa"/>
            <w:tcBorders>
              <w:top w:val="single" w:color="000000" w:sz="4" w:space="0"/>
              <w:left w:val="single" w:color="000000" w:sz="4" w:space="0"/>
              <w:bottom w:val="nil"/>
              <w:right w:val="single" w:color="000000" w:sz="4" w:space="0"/>
            </w:tcBorders>
            <w:shd w:val="clear" w:color="auto" w:fill="auto"/>
            <w:vAlign w:val="center"/>
          </w:tcPr>
          <w:p w14:paraId="5BA80F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292DCAE9">
            <w:pPr>
              <w:jc w:val="center"/>
              <w:rPr>
                <w:rFonts w:hint="eastAsia" w:ascii="宋体" w:hAnsi="宋体" w:eastAsia="宋体" w:cs="宋体"/>
                <w:i w:val="0"/>
                <w:iCs w:val="0"/>
                <w:color w:val="000000"/>
                <w:sz w:val="18"/>
                <w:szCs w:val="18"/>
                <w:u w:val="none"/>
              </w:rPr>
            </w:pPr>
          </w:p>
        </w:tc>
      </w:tr>
      <w:tr w14:paraId="02499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0" w:hRule="atLeast"/>
        </w:trPr>
        <w:tc>
          <w:tcPr>
            <w:tcW w:w="632" w:type="dxa"/>
            <w:vMerge w:val="continue"/>
            <w:tcBorders>
              <w:top w:val="single" w:color="000000" w:sz="4" w:space="0"/>
              <w:left w:val="single" w:color="000000" w:sz="4" w:space="0"/>
              <w:bottom w:val="nil"/>
              <w:right w:val="single" w:color="000000" w:sz="4" w:space="0"/>
            </w:tcBorders>
            <w:shd w:val="clear" w:color="auto" w:fill="auto"/>
            <w:vAlign w:val="center"/>
          </w:tcPr>
          <w:p w14:paraId="7563514C">
            <w:pPr>
              <w:jc w:val="center"/>
              <w:rPr>
                <w:rFonts w:hint="eastAsia" w:ascii="宋体" w:hAnsi="宋体" w:eastAsia="宋体" w:cs="宋体"/>
                <w:i w:val="0"/>
                <w:iCs w:val="0"/>
                <w:color w:val="000000"/>
                <w:sz w:val="18"/>
                <w:szCs w:val="18"/>
                <w:u w:val="none"/>
              </w:rPr>
            </w:pPr>
          </w:p>
        </w:tc>
        <w:tc>
          <w:tcPr>
            <w:tcW w:w="649" w:type="dxa"/>
            <w:vMerge w:val="continue"/>
            <w:tcBorders>
              <w:top w:val="single" w:color="000000" w:sz="4" w:space="0"/>
              <w:left w:val="single" w:color="000000" w:sz="4" w:space="0"/>
              <w:bottom w:val="nil"/>
              <w:right w:val="single" w:color="000000" w:sz="4" w:space="0"/>
            </w:tcBorders>
            <w:shd w:val="clear" w:color="auto" w:fill="auto"/>
            <w:vAlign w:val="center"/>
          </w:tcPr>
          <w:p w14:paraId="2F51AD55">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nil"/>
              <w:right w:val="single" w:color="000000" w:sz="4" w:space="0"/>
            </w:tcBorders>
            <w:shd w:val="clear" w:color="auto" w:fill="auto"/>
            <w:vAlign w:val="center"/>
          </w:tcPr>
          <w:p w14:paraId="7DA505BD">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nil"/>
              <w:right w:val="single" w:color="000000" w:sz="4" w:space="0"/>
            </w:tcBorders>
            <w:shd w:val="clear" w:color="auto" w:fill="auto"/>
            <w:vAlign w:val="center"/>
          </w:tcPr>
          <w:p w14:paraId="16BFD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办公费支出</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40F840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2C6502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51EF5A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45FB67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445E8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515" w:type="dxa"/>
            <w:tcBorders>
              <w:top w:val="single" w:color="000000" w:sz="4" w:space="0"/>
              <w:left w:val="single" w:color="000000" w:sz="4" w:space="0"/>
              <w:bottom w:val="nil"/>
              <w:right w:val="single" w:color="000000" w:sz="4" w:space="0"/>
            </w:tcBorders>
            <w:shd w:val="clear" w:color="auto" w:fill="auto"/>
            <w:vAlign w:val="center"/>
          </w:tcPr>
          <w:p w14:paraId="59937B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466" w:type="dxa"/>
            <w:tcBorders>
              <w:top w:val="single" w:color="000000" w:sz="4" w:space="0"/>
              <w:left w:val="single" w:color="000000" w:sz="4" w:space="0"/>
              <w:bottom w:val="nil"/>
              <w:right w:val="single" w:color="000000" w:sz="4" w:space="0"/>
            </w:tcBorders>
            <w:shd w:val="clear" w:color="auto" w:fill="auto"/>
            <w:vAlign w:val="center"/>
          </w:tcPr>
          <w:p w14:paraId="18A342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027C0E05">
            <w:pPr>
              <w:jc w:val="center"/>
              <w:rPr>
                <w:rFonts w:hint="eastAsia" w:ascii="宋体" w:hAnsi="宋体" w:eastAsia="宋体" w:cs="宋体"/>
                <w:i w:val="0"/>
                <w:iCs w:val="0"/>
                <w:color w:val="000000"/>
                <w:sz w:val="18"/>
                <w:szCs w:val="18"/>
                <w:u w:val="none"/>
              </w:rPr>
            </w:pPr>
          </w:p>
        </w:tc>
      </w:tr>
      <w:tr w14:paraId="1DF43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632" w:type="dxa"/>
            <w:vMerge w:val="continue"/>
            <w:tcBorders>
              <w:top w:val="single" w:color="000000" w:sz="4" w:space="0"/>
              <w:left w:val="single" w:color="000000" w:sz="4" w:space="0"/>
              <w:bottom w:val="nil"/>
              <w:right w:val="single" w:color="000000" w:sz="4" w:space="0"/>
            </w:tcBorders>
            <w:shd w:val="clear" w:color="auto" w:fill="auto"/>
            <w:vAlign w:val="center"/>
          </w:tcPr>
          <w:p w14:paraId="01C08A43">
            <w:pPr>
              <w:jc w:val="center"/>
              <w:rPr>
                <w:rFonts w:hint="eastAsia" w:ascii="宋体" w:hAnsi="宋体" w:eastAsia="宋体" w:cs="宋体"/>
                <w:i w:val="0"/>
                <w:iCs w:val="0"/>
                <w:color w:val="000000"/>
                <w:sz w:val="18"/>
                <w:szCs w:val="18"/>
                <w:u w:val="none"/>
              </w:rPr>
            </w:pPr>
          </w:p>
        </w:tc>
        <w:tc>
          <w:tcPr>
            <w:tcW w:w="649" w:type="dxa"/>
            <w:vMerge w:val="continue"/>
            <w:tcBorders>
              <w:top w:val="single" w:color="000000" w:sz="4" w:space="0"/>
              <w:left w:val="single" w:color="000000" w:sz="4" w:space="0"/>
              <w:bottom w:val="nil"/>
              <w:right w:val="single" w:color="000000" w:sz="4" w:space="0"/>
            </w:tcBorders>
            <w:shd w:val="clear" w:color="auto" w:fill="auto"/>
            <w:vAlign w:val="center"/>
          </w:tcPr>
          <w:p w14:paraId="10EE42DD">
            <w:pPr>
              <w:jc w:val="center"/>
              <w:rPr>
                <w:rFonts w:hint="eastAsia" w:ascii="宋体" w:hAnsi="宋体" w:eastAsia="宋体" w:cs="宋体"/>
                <w:i w:val="0"/>
                <w:iCs w:val="0"/>
                <w:color w:val="000000"/>
                <w:sz w:val="18"/>
                <w:szCs w:val="18"/>
                <w:u w:val="none"/>
              </w:rPr>
            </w:pPr>
          </w:p>
        </w:tc>
        <w:tc>
          <w:tcPr>
            <w:tcW w:w="716" w:type="dxa"/>
            <w:vMerge w:val="continue"/>
            <w:tcBorders>
              <w:top w:val="single" w:color="000000" w:sz="4" w:space="0"/>
              <w:left w:val="single" w:color="000000" w:sz="4" w:space="0"/>
              <w:bottom w:val="nil"/>
              <w:right w:val="single" w:color="000000" w:sz="4" w:space="0"/>
            </w:tcBorders>
            <w:shd w:val="clear" w:color="auto" w:fill="auto"/>
            <w:vAlign w:val="center"/>
          </w:tcPr>
          <w:p w14:paraId="2A6276C2">
            <w:pPr>
              <w:jc w:val="center"/>
              <w:rPr>
                <w:rFonts w:hint="eastAsia" w:ascii="宋体" w:hAnsi="宋体" w:eastAsia="宋体" w:cs="宋体"/>
                <w:i w:val="0"/>
                <w:iCs w:val="0"/>
                <w:color w:val="000000"/>
                <w:sz w:val="18"/>
                <w:szCs w:val="18"/>
                <w:u w:val="none"/>
              </w:rPr>
            </w:pPr>
          </w:p>
        </w:tc>
        <w:tc>
          <w:tcPr>
            <w:tcW w:w="1350" w:type="dxa"/>
            <w:tcBorders>
              <w:top w:val="single" w:color="000000" w:sz="4" w:space="0"/>
              <w:left w:val="single" w:color="000000" w:sz="4" w:space="0"/>
              <w:bottom w:val="nil"/>
              <w:right w:val="single" w:color="000000" w:sz="4" w:space="0"/>
            </w:tcBorders>
            <w:shd w:val="clear" w:color="auto" w:fill="auto"/>
            <w:vAlign w:val="center"/>
          </w:tcPr>
          <w:p w14:paraId="3BB1C4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项目总成本</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5390E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3CCC66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77B84D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47.88</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113D42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0E50BE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515" w:type="dxa"/>
            <w:tcBorders>
              <w:top w:val="single" w:color="000000" w:sz="4" w:space="0"/>
              <w:left w:val="single" w:color="000000" w:sz="4" w:space="0"/>
              <w:bottom w:val="nil"/>
              <w:right w:val="single" w:color="000000" w:sz="4" w:space="0"/>
            </w:tcBorders>
            <w:shd w:val="clear" w:color="auto" w:fill="auto"/>
            <w:vAlign w:val="center"/>
          </w:tcPr>
          <w:p w14:paraId="0E9EA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466" w:type="dxa"/>
            <w:tcBorders>
              <w:top w:val="single" w:color="000000" w:sz="4" w:space="0"/>
              <w:left w:val="single" w:color="000000" w:sz="4" w:space="0"/>
              <w:bottom w:val="nil"/>
              <w:right w:val="single" w:color="000000" w:sz="4" w:space="0"/>
            </w:tcBorders>
            <w:shd w:val="clear" w:color="auto" w:fill="auto"/>
            <w:vAlign w:val="center"/>
          </w:tcPr>
          <w:p w14:paraId="51DD12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45B23517">
            <w:pPr>
              <w:jc w:val="center"/>
              <w:rPr>
                <w:rFonts w:hint="eastAsia" w:ascii="宋体" w:hAnsi="宋体" w:eastAsia="宋体" w:cs="宋体"/>
                <w:i w:val="0"/>
                <w:iCs w:val="0"/>
                <w:color w:val="000000"/>
                <w:sz w:val="18"/>
                <w:szCs w:val="18"/>
                <w:u w:val="none"/>
              </w:rPr>
            </w:pPr>
          </w:p>
        </w:tc>
      </w:tr>
      <w:tr w14:paraId="60E3D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632" w:type="dxa"/>
            <w:vMerge w:val="continue"/>
            <w:tcBorders>
              <w:top w:val="single" w:color="000000" w:sz="4" w:space="0"/>
              <w:left w:val="single" w:color="000000" w:sz="4" w:space="0"/>
              <w:bottom w:val="nil"/>
              <w:right w:val="single" w:color="000000" w:sz="4" w:space="0"/>
            </w:tcBorders>
            <w:shd w:val="clear" w:color="auto" w:fill="auto"/>
            <w:vAlign w:val="center"/>
          </w:tcPr>
          <w:p w14:paraId="1048BD92">
            <w:pPr>
              <w:jc w:val="center"/>
              <w:rPr>
                <w:rFonts w:hint="eastAsia" w:ascii="宋体" w:hAnsi="宋体" w:eastAsia="宋体" w:cs="宋体"/>
                <w:i w:val="0"/>
                <w:iCs w:val="0"/>
                <w:color w:val="000000"/>
                <w:sz w:val="18"/>
                <w:szCs w:val="18"/>
                <w:u w:val="none"/>
              </w:rPr>
            </w:pPr>
          </w:p>
        </w:tc>
        <w:tc>
          <w:tcPr>
            <w:tcW w:w="649" w:type="dxa"/>
            <w:vMerge w:val="restart"/>
            <w:tcBorders>
              <w:top w:val="single" w:color="000000" w:sz="4" w:space="0"/>
              <w:left w:val="single" w:color="000000" w:sz="4" w:space="0"/>
              <w:bottom w:val="nil"/>
              <w:right w:val="single" w:color="000000" w:sz="4" w:space="0"/>
            </w:tcBorders>
            <w:shd w:val="clear" w:color="auto" w:fill="auto"/>
            <w:vAlign w:val="center"/>
          </w:tcPr>
          <w:p w14:paraId="28EA73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716" w:type="dxa"/>
            <w:tcBorders>
              <w:top w:val="single" w:color="000000" w:sz="4" w:space="0"/>
              <w:left w:val="single" w:color="000000" w:sz="4" w:space="0"/>
              <w:bottom w:val="nil"/>
              <w:right w:val="single" w:color="000000" w:sz="4" w:space="0"/>
            </w:tcBorders>
            <w:shd w:val="clear" w:color="auto" w:fill="auto"/>
            <w:vAlign w:val="center"/>
          </w:tcPr>
          <w:p w14:paraId="7C44A7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w:t>
            </w:r>
          </w:p>
        </w:tc>
        <w:tc>
          <w:tcPr>
            <w:tcW w:w="1350" w:type="dxa"/>
            <w:tcBorders>
              <w:top w:val="single" w:color="000000" w:sz="4" w:space="0"/>
              <w:left w:val="single" w:color="000000" w:sz="4" w:space="0"/>
              <w:bottom w:val="nil"/>
              <w:right w:val="single" w:color="000000" w:sz="4" w:space="0"/>
            </w:tcBorders>
            <w:shd w:val="clear" w:color="auto" w:fill="auto"/>
            <w:vAlign w:val="center"/>
          </w:tcPr>
          <w:p w14:paraId="1628B3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提升审计服务水平</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3746CA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6515DC5B">
            <w:pPr>
              <w:jc w:val="center"/>
              <w:rPr>
                <w:rFonts w:hint="eastAsia"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nil"/>
              <w:right w:val="single" w:color="000000" w:sz="4" w:space="0"/>
            </w:tcBorders>
            <w:shd w:val="clear" w:color="auto" w:fill="auto"/>
            <w:vAlign w:val="center"/>
          </w:tcPr>
          <w:p w14:paraId="557343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有效提升</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557467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647ACBAC">
            <w:pPr>
              <w:jc w:val="center"/>
              <w:rPr>
                <w:rFonts w:hint="eastAsia" w:ascii="宋体" w:hAnsi="宋体" w:eastAsia="宋体" w:cs="宋体"/>
                <w:i w:val="0"/>
                <w:iCs w:val="0"/>
                <w:color w:val="000000"/>
                <w:sz w:val="18"/>
                <w:szCs w:val="18"/>
                <w:u w:val="none"/>
              </w:rPr>
            </w:pPr>
          </w:p>
        </w:tc>
        <w:tc>
          <w:tcPr>
            <w:tcW w:w="515" w:type="dxa"/>
            <w:tcBorders>
              <w:top w:val="single" w:color="000000" w:sz="4" w:space="0"/>
              <w:left w:val="single" w:color="000000" w:sz="4" w:space="0"/>
              <w:bottom w:val="nil"/>
              <w:right w:val="single" w:color="000000" w:sz="4" w:space="0"/>
            </w:tcBorders>
            <w:shd w:val="clear" w:color="auto" w:fill="auto"/>
            <w:vAlign w:val="center"/>
          </w:tcPr>
          <w:p w14:paraId="18796D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66" w:type="dxa"/>
            <w:tcBorders>
              <w:top w:val="single" w:color="000000" w:sz="4" w:space="0"/>
              <w:left w:val="single" w:color="000000" w:sz="4" w:space="0"/>
              <w:bottom w:val="nil"/>
              <w:right w:val="single" w:color="000000" w:sz="4" w:space="0"/>
            </w:tcBorders>
            <w:shd w:val="clear" w:color="auto" w:fill="auto"/>
            <w:vAlign w:val="center"/>
          </w:tcPr>
          <w:p w14:paraId="6CD6AA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5643C518">
            <w:pPr>
              <w:jc w:val="center"/>
              <w:rPr>
                <w:rFonts w:hint="eastAsia" w:ascii="宋体" w:hAnsi="宋体" w:eastAsia="宋体" w:cs="宋体"/>
                <w:i w:val="0"/>
                <w:iCs w:val="0"/>
                <w:color w:val="000000"/>
                <w:sz w:val="18"/>
                <w:szCs w:val="18"/>
                <w:u w:val="none"/>
              </w:rPr>
            </w:pPr>
          </w:p>
        </w:tc>
      </w:tr>
      <w:tr w14:paraId="5FE1A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632" w:type="dxa"/>
            <w:vMerge w:val="continue"/>
            <w:tcBorders>
              <w:top w:val="single" w:color="000000" w:sz="4" w:space="0"/>
              <w:left w:val="single" w:color="000000" w:sz="4" w:space="0"/>
              <w:bottom w:val="nil"/>
              <w:right w:val="single" w:color="000000" w:sz="4" w:space="0"/>
            </w:tcBorders>
            <w:shd w:val="clear" w:color="auto" w:fill="auto"/>
            <w:vAlign w:val="center"/>
          </w:tcPr>
          <w:p w14:paraId="774DCF60">
            <w:pPr>
              <w:jc w:val="center"/>
              <w:rPr>
                <w:rFonts w:hint="eastAsia" w:ascii="宋体" w:hAnsi="宋体" w:eastAsia="宋体" w:cs="宋体"/>
                <w:i w:val="0"/>
                <w:iCs w:val="0"/>
                <w:color w:val="000000"/>
                <w:sz w:val="18"/>
                <w:szCs w:val="18"/>
                <w:u w:val="none"/>
              </w:rPr>
            </w:pPr>
          </w:p>
        </w:tc>
        <w:tc>
          <w:tcPr>
            <w:tcW w:w="649" w:type="dxa"/>
            <w:vMerge w:val="continue"/>
            <w:tcBorders>
              <w:top w:val="single" w:color="000000" w:sz="4" w:space="0"/>
              <w:left w:val="single" w:color="000000" w:sz="4" w:space="0"/>
              <w:bottom w:val="nil"/>
              <w:right w:val="single" w:color="000000" w:sz="4" w:space="0"/>
            </w:tcBorders>
            <w:shd w:val="clear" w:color="auto" w:fill="auto"/>
            <w:vAlign w:val="center"/>
          </w:tcPr>
          <w:p w14:paraId="10BC3A6C">
            <w:pPr>
              <w:jc w:val="center"/>
              <w:rPr>
                <w:rFonts w:hint="eastAsia" w:ascii="宋体" w:hAnsi="宋体" w:eastAsia="宋体" w:cs="宋体"/>
                <w:i w:val="0"/>
                <w:iCs w:val="0"/>
                <w:color w:val="000000"/>
                <w:sz w:val="18"/>
                <w:szCs w:val="18"/>
                <w:u w:val="none"/>
              </w:rPr>
            </w:pPr>
          </w:p>
        </w:tc>
        <w:tc>
          <w:tcPr>
            <w:tcW w:w="716" w:type="dxa"/>
            <w:tcBorders>
              <w:top w:val="single" w:color="000000" w:sz="4" w:space="0"/>
              <w:left w:val="single" w:color="000000" w:sz="4" w:space="0"/>
              <w:bottom w:val="nil"/>
              <w:right w:val="single" w:color="000000" w:sz="4" w:space="0"/>
            </w:tcBorders>
            <w:shd w:val="clear" w:color="auto" w:fill="auto"/>
            <w:vAlign w:val="center"/>
          </w:tcPr>
          <w:p w14:paraId="0ACA93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w:t>
            </w:r>
          </w:p>
        </w:tc>
        <w:tc>
          <w:tcPr>
            <w:tcW w:w="1350" w:type="dxa"/>
            <w:tcBorders>
              <w:top w:val="single" w:color="000000" w:sz="4" w:space="0"/>
              <w:left w:val="single" w:color="000000" w:sz="4" w:space="0"/>
              <w:bottom w:val="nil"/>
              <w:right w:val="single" w:color="000000" w:sz="4" w:space="0"/>
            </w:tcBorders>
            <w:shd w:val="clear" w:color="auto" w:fill="auto"/>
            <w:vAlign w:val="center"/>
          </w:tcPr>
          <w:p w14:paraId="48E815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保障审计业务正常开展</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6E2714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21376DCA">
            <w:pPr>
              <w:jc w:val="center"/>
              <w:rPr>
                <w:rFonts w:hint="eastAsia" w:ascii="宋体" w:hAnsi="宋体" w:eastAsia="宋体" w:cs="宋体"/>
                <w:i w:val="0"/>
                <w:iCs w:val="0"/>
                <w:color w:val="000000"/>
                <w:sz w:val="18"/>
                <w:szCs w:val="18"/>
                <w:u w:val="none"/>
              </w:rPr>
            </w:pPr>
          </w:p>
        </w:tc>
        <w:tc>
          <w:tcPr>
            <w:tcW w:w="666" w:type="dxa"/>
            <w:tcBorders>
              <w:top w:val="single" w:color="000000" w:sz="4" w:space="0"/>
              <w:left w:val="single" w:color="000000" w:sz="4" w:space="0"/>
              <w:bottom w:val="nil"/>
              <w:right w:val="single" w:color="000000" w:sz="4" w:space="0"/>
            </w:tcBorders>
            <w:shd w:val="clear" w:color="auto" w:fill="auto"/>
            <w:vAlign w:val="center"/>
          </w:tcPr>
          <w:p w14:paraId="0CAB46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有序开展</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02AF3B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2C1EDEE7">
            <w:pPr>
              <w:jc w:val="center"/>
              <w:rPr>
                <w:rFonts w:hint="eastAsia" w:ascii="宋体" w:hAnsi="宋体" w:eastAsia="宋体" w:cs="宋体"/>
                <w:i w:val="0"/>
                <w:iCs w:val="0"/>
                <w:color w:val="000000"/>
                <w:sz w:val="18"/>
                <w:szCs w:val="18"/>
                <w:u w:val="none"/>
              </w:rPr>
            </w:pPr>
          </w:p>
        </w:tc>
        <w:tc>
          <w:tcPr>
            <w:tcW w:w="515" w:type="dxa"/>
            <w:tcBorders>
              <w:top w:val="single" w:color="000000" w:sz="4" w:space="0"/>
              <w:left w:val="single" w:color="000000" w:sz="4" w:space="0"/>
              <w:bottom w:val="nil"/>
              <w:right w:val="single" w:color="000000" w:sz="4" w:space="0"/>
            </w:tcBorders>
            <w:shd w:val="clear" w:color="auto" w:fill="auto"/>
            <w:vAlign w:val="center"/>
          </w:tcPr>
          <w:p w14:paraId="00B162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66" w:type="dxa"/>
            <w:tcBorders>
              <w:top w:val="single" w:color="000000" w:sz="4" w:space="0"/>
              <w:left w:val="single" w:color="000000" w:sz="4" w:space="0"/>
              <w:bottom w:val="nil"/>
              <w:right w:val="single" w:color="000000" w:sz="4" w:space="0"/>
            </w:tcBorders>
            <w:shd w:val="clear" w:color="auto" w:fill="auto"/>
            <w:vAlign w:val="center"/>
          </w:tcPr>
          <w:p w14:paraId="519AB0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51D92FE6">
            <w:pPr>
              <w:jc w:val="center"/>
              <w:rPr>
                <w:rFonts w:hint="eastAsia" w:ascii="宋体" w:hAnsi="宋体" w:eastAsia="宋体" w:cs="宋体"/>
                <w:i w:val="0"/>
                <w:iCs w:val="0"/>
                <w:color w:val="000000"/>
                <w:sz w:val="18"/>
                <w:szCs w:val="18"/>
                <w:u w:val="none"/>
              </w:rPr>
            </w:pPr>
          </w:p>
        </w:tc>
      </w:tr>
      <w:tr w14:paraId="30236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632" w:type="dxa"/>
            <w:vMerge w:val="continue"/>
            <w:tcBorders>
              <w:top w:val="single" w:color="000000" w:sz="4" w:space="0"/>
              <w:left w:val="single" w:color="000000" w:sz="4" w:space="0"/>
              <w:bottom w:val="nil"/>
              <w:right w:val="single" w:color="000000" w:sz="4" w:space="0"/>
            </w:tcBorders>
            <w:shd w:val="clear" w:color="auto" w:fill="auto"/>
            <w:vAlign w:val="center"/>
          </w:tcPr>
          <w:p w14:paraId="69F24920">
            <w:pPr>
              <w:jc w:val="center"/>
              <w:rPr>
                <w:rFonts w:hint="eastAsia" w:ascii="宋体" w:hAnsi="宋体" w:eastAsia="宋体" w:cs="宋体"/>
                <w:i w:val="0"/>
                <w:iCs w:val="0"/>
                <w:color w:val="000000"/>
                <w:sz w:val="18"/>
                <w:szCs w:val="18"/>
                <w:u w:val="none"/>
              </w:rPr>
            </w:pPr>
          </w:p>
        </w:tc>
        <w:tc>
          <w:tcPr>
            <w:tcW w:w="649" w:type="dxa"/>
            <w:tcBorders>
              <w:top w:val="single" w:color="000000" w:sz="4" w:space="0"/>
              <w:left w:val="single" w:color="000000" w:sz="4" w:space="0"/>
              <w:bottom w:val="nil"/>
              <w:right w:val="single" w:color="000000" w:sz="4" w:space="0"/>
            </w:tcBorders>
            <w:shd w:val="clear" w:color="auto" w:fill="auto"/>
            <w:vAlign w:val="center"/>
          </w:tcPr>
          <w:p w14:paraId="7B7B3E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716" w:type="dxa"/>
            <w:tcBorders>
              <w:top w:val="single" w:color="000000" w:sz="4" w:space="0"/>
              <w:left w:val="single" w:color="000000" w:sz="4" w:space="0"/>
              <w:bottom w:val="nil"/>
              <w:right w:val="single" w:color="000000" w:sz="4" w:space="0"/>
            </w:tcBorders>
            <w:shd w:val="clear" w:color="auto" w:fill="auto"/>
            <w:vAlign w:val="center"/>
          </w:tcPr>
          <w:p w14:paraId="2A420D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w:t>
            </w:r>
          </w:p>
        </w:tc>
        <w:tc>
          <w:tcPr>
            <w:tcW w:w="1350" w:type="dxa"/>
            <w:tcBorders>
              <w:top w:val="single" w:color="000000" w:sz="4" w:space="0"/>
              <w:left w:val="single" w:color="000000" w:sz="4" w:space="0"/>
              <w:bottom w:val="nil"/>
              <w:right w:val="single" w:color="000000" w:sz="4" w:space="0"/>
            </w:tcBorders>
            <w:shd w:val="clear" w:color="auto" w:fill="auto"/>
            <w:vAlign w:val="center"/>
          </w:tcPr>
          <w:p w14:paraId="59B99D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单位人员满意度</w:t>
            </w:r>
          </w:p>
        </w:tc>
        <w:tc>
          <w:tcPr>
            <w:tcW w:w="849" w:type="dxa"/>
            <w:tcBorders>
              <w:top w:val="single" w:color="000000" w:sz="4" w:space="0"/>
              <w:left w:val="single" w:color="000000" w:sz="4" w:space="0"/>
              <w:bottom w:val="nil"/>
              <w:right w:val="single" w:color="000000" w:sz="4" w:space="0"/>
            </w:tcBorders>
            <w:shd w:val="clear" w:color="auto" w:fill="auto"/>
            <w:vAlign w:val="center"/>
          </w:tcPr>
          <w:p w14:paraId="49DE28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816" w:type="dxa"/>
            <w:tcBorders>
              <w:top w:val="single" w:color="000000" w:sz="4" w:space="0"/>
              <w:left w:val="single" w:color="000000" w:sz="4" w:space="0"/>
              <w:bottom w:val="nil"/>
              <w:right w:val="single" w:color="000000" w:sz="4" w:space="0"/>
            </w:tcBorders>
            <w:shd w:val="clear" w:color="auto" w:fill="auto"/>
            <w:vAlign w:val="center"/>
          </w:tcPr>
          <w:p w14:paraId="555A98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38FB54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666" w:type="dxa"/>
            <w:tcBorders>
              <w:top w:val="single" w:color="000000" w:sz="4" w:space="0"/>
              <w:left w:val="single" w:color="000000" w:sz="4" w:space="0"/>
              <w:bottom w:val="nil"/>
              <w:right w:val="single" w:color="000000" w:sz="4" w:space="0"/>
            </w:tcBorders>
            <w:shd w:val="clear" w:color="auto" w:fill="auto"/>
            <w:vAlign w:val="center"/>
          </w:tcPr>
          <w:p w14:paraId="6BD631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549" w:type="dxa"/>
            <w:tcBorders>
              <w:top w:val="single" w:color="000000" w:sz="4" w:space="0"/>
              <w:left w:val="single" w:color="000000" w:sz="4" w:space="0"/>
              <w:bottom w:val="nil"/>
              <w:right w:val="single" w:color="000000" w:sz="4" w:space="0"/>
            </w:tcBorders>
            <w:shd w:val="clear" w:color="auto" w:fill="auto"/>
            <w:vAlign w:val="center"/>
          </w:tcPr>
          <w:p w14:paraId="5E98D6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15" w:type="dxa"/>
            <w:tcBorders>
              <w:top w:val="single" w:color="000000" w:sz="4" w:space="0"/>
              <w:left w:val="single" w:color="000000" w:sz="4" w:space="0"/>
              <w:bottom w:val="nil"/>
              <w:right w:val="single" w:color="000000" w:sz="4" w:space="0"/>
            </w:tcBorders>
            <w:shd w:val="clear" w:color="auto" w:fill="auto"/>
            <w:vAlign w:val="center"/>
          </w:tcPr>
          <w:p w14:paraId="2F7A4E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66" w:type="dxa"/>
            <w:tcBorders>
              <w:top w:val="single" w:color="000000" w:sz="4" w:space="0"/>
              <w:left w:val="single" w:color="000000" w:sz="4" w:space="0"/>
              <w:bottom w:val="nil"/>
              <w:right w:val="single" w:color="000000" w:sz="4" w:space="0"/>
            </w:tcBorders>
            <w:shd w:val="clear" w:color="auto" w:fill="auto"/>
            <w:vAlign w:val="center"/>
          </w:tcPr>
          <w:p w14:paraId="55DFEA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966" w:type="dxa"/>
            <w:tcBorders>
              <w:top w:val="single" w:color="000000" w:sz="4" w:space="0"/>
              <w:left w:val="single" w:color="000000" w:sz="4" w:space="0"/>
              <w:bottom w:val="nil"/>
              <w:right w:val="single" w:color="000000" w:sz="4" w:space="0"/>
            </w:tcBorders>
            <w:shd w:val="clear" w:color="auto" w:fill="auto"/>
            <w:vAlign w:val="center"/>
          </w:tcPr>
          <w:p w14:paraId="2F1322FE">
            <w:pPr>
              <w:jc w:val="center"/>
              <w:rPr>
                <w:rFonts w:hint="eastAsia" w:ascii="宋体" w:hAnsi="宋体" w:eastAsia="宋体" w:cs="宋体"/>
                <w:i w:val="0"/>
                <w:iCs w:val="0"/>
                <w:color w:val="000000"/>
                <w:sz w:val="18"/>
                <w:szCs w:val="18"/>
                <w:u w:val="none"/>
              </w:rPr>
            </w:pPr>
          </w:p>
        </w:tc>
      </w:tr>
      <w:tr w14:paraId="415BF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6893"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CA5B3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5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168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0DF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99.64</w:t>
            </w:r>
          </w:p>
        </w:tc>
        <w:tc>
          <w:tcPr>
            <w:tcW w:w="9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3964">
            <w:pPr>
              <w:jc w:val="center"/>
              <w:rPr>
                <w:rFonts w:hint="eastAsia" w:ascii="宋体" w:hAnsi="宋体" w:eastAsia="宋体" w:cs="宋体"/>
                <w:i w:val="0"/>
                <w:iCs w:val="0"/>
                <w:color w:val="000000"/>
                <w:sz w:val="18"/>
                <w:szCs w:val="18"/>
                <w:u w:val="none"/>
              </w:rPr>
            </w:pPr>
          </w:p>
        </w:tc>
      </w:tr>
    </w:tbl>
    <w:p w14:paraId="09EBA849">
      <w:pPr>
        <w:pStyle w:val="28"/>
        <w:widowControl/>
        <w:spacing w:before="240" w:after="240" w:line="560" w:lineRule="atLeast"/>
        <w:ind w:firstLine="640"/>
        <w:jc w:val="left"/>
        <w:rPr>
          <w:rFonts w:hint="eastAsia" w:ascii="FangSong_GB2312" w:hAnsi="FangSong_GB2312" w:eastAsia="FangSong_GB2312" w:cs="FangSong_GB2312"/>
          <w:color w:val="auto"/>
          <w:kern w:val="0"/>
          <w:sz w:val="32"/>
          <w:szCs w:val="32"/>
          <w:lang w:eastAsia="zh-CN"/>
        </w:rPr>
      </w:pPr>
    </w:p>
    <w:p w14:paraId="05733399">
      <w:pPr>
        <w:pStyle w:val="28"/>
        <w:widowControl/>
        <w:spacing w:before="240" w:after="240" w:line="560" w:lineRule="atLeast"/>
        <w:ind w:firstLine="640"/>
        <w:jc w:val="left"/>
        <w:rPr>
          <w:rFonts w:hint="eastAsia" w:ascii="FangSong_GB2312" w:hAnsi="FangSong_GB2312" w:eastAsia="FangSong_GB2312" w:cs="FangSong_GB2312"/>
          <w:color w:val="auto"/>
          <w:kern w:val="0"/>
          <w:sz w:val="32"/>
          <w:szCs w:val="32"/>
          <w:lang w:eastAsia="zh-CN"/>
        </w:rPr>
      </w:pPr>
    </w:p>
    <w:tbl>
      <w:tblPr>
        <w:tblStyle w:val="18"/>
        <w:tblW w:w="89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02"/>
        <w:gridCol w:w="486"/>
        <w:gridCol w:w="917"/>
        <w:gridCol w:w="1144"/>
        <w:gridCol w:w="810"/>
        <w:gridCol w:w="445"/>
        <w:gridCol w:w="849"/>
        <w:gridCol w:w="704"/>
        <w:gridCol w:w="796"/>
        <w:gridCol w:w="486"/>
        <w:gridCol w:w="666"/>
        <w:gridCol w:w="720"/>
      </w:tblGrid>
      <w:tr w14:paraId="74586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8927" w:type="dxa"/>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29BFDA8">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(2025年度）</w:t>
            </w:r>
          </w:p>
        </w:tc>
      </w:tr>
      <w:tr w14:paraId="4850B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63210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7661"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8F51E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审计专项补助经费</w:t>
            </w:r>
          </w:p>
        </w:tc>
      </w:tr>
      <w:tr w14:paraId="3D90D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26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926FE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346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A412FC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赤峰市松山区审计局（部门）</w:t>
            </w:r>
          </w:p>
        </w:tc>
        <w:tc>
          <w:tcPr>
            <w:tcW w:w="15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40EDD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259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A0318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赤峰市松山区审计局</w:t>
            </w:r>
          </w:p>
        </w:tc>
      </w:tr>
      <w:tr w14:paraId="0786C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26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9FD9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3D9C1">
            <w:pPr>
              <w:rPr>
                <w:rFonts w:hint="eastAsia" w:ascii="宋体" w:hAnsi="宋体" w:eastAsia="宋体" w:cs="宋体"/>
                <w:i w:val="0"/>
                <w:iCs w:val="0"/>
                <w:color w:val="000000"/>
                <w:sz w:val="18"/>
                <w:szCs w:val="18"/>
                <w:u w:val="none"/>
              </w:rPr>
            </w:pP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178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13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29C6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15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0581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7EC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10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BCAF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019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1A048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2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B3A833">
            <w:pPr>
              <w:jc w:val="center"/>
              <w:rPr>
                <w:rFonts w:hint="eastAsia" w:ascii="宋体" w:hAnsi="宋体" w:eastAsia="宋体" w:cs="宋体"/>
                <w:i w:val="0"/>
                <w:iCs w:val="0"/>
                <w:color w:val="000000"/>
                <w:sz w:val="18"/>
                <w:szCs w:val="18"/>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BA1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D402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3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9894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5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224E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244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10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F633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7AC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5FA73A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2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26E548">
            <w:pPr>
              <w:jc w:val="center"/>
              <w:rPr>
                <w:rFonts w:hint="eastAsia" w:ascii="宋体" w:hAnsi="宋体" w:eastAsia="宋体" w:cs="宋体"/>
                <w:i w:val="0"/>
                <w:iCs w:val="0"/>
                <w:color w:val="000000"/>
                <w:sz w:val="18"/>
                <w:szCs w:val="18"/>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73FE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5894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3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29DA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15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5813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25B48">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10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5031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1E85B">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3E4E3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2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77BDFF">
            <w:pPr>
              <w:jc w:val="center"/>
              <w:rPr>
                <w:rFonts w:hint="eastAsia" w:ascii="宋体" w:hAnsi="宋体" w:eastAsia="宋体" w:cs="宋体"/>
                <w:i w:val="0"/>
                <w:iCs w:val="0"/>
                <w:color w:val="000000"/>
                <w:sz w:val="18"/>
                <w:szCs w:val="18"/>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5D0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7FAD7">
            <w:pPr>
              <w:rPr>
                <w:rFonts w:hint="eastAsia" w:ascii="宋体" w:hAnsi="宋体" w:eastAsia="宋体" w:cs="宋体"/>
                <w:i w:val="0"/>
                <w:iCs w:val="0"/>
                <w:color w:val="000000"/>
                <w:sz w:val="18"/>
                <w:szCs w:val="18"/>
                <w:u w:val="none"/>
              </w:rPr>
            </w:pPr>
          </w:p>
        </w:tc>
        <w:tc>
          <w:tcPr>
            <w:tcW w:w="13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361EC3">
            <w:pPr>
              <w:jc w:val="center"/>
              <w:rPr>
                <w:rFonts w:hint="eastAsia" w:ascii="宋体" w:hAnsi="宋体" w:eastAsia="宋体" w:cs="宋体"/>
                <w:i w:val="0"/>
                <w:iCs w:val="0"/>
                <w:color w:val="000000"/>
                <w:sz w:val="18"/>
                <w:szCs w:val="18"/>
                <w:u w:val="none"/>
              </w:rPr>
            </w:pPr>
          </w:p>
        </w:tc>
        <w:tc>
          <w:tcPr>
            <w:tcW w:w="15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A11DC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6407F">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10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98227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7C250">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3DEA91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2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35342">
            <w:pPr>
              <w:jc w:val="center"/>
              <w:rPr>
                <w:rFonts w:hint="eastAsia" w:ascii="宋体" w:hAnsi="宋体" w:eastAsia="宋体" w:cs="宋体"/>
                <w:i w:val="0"/>
                <w:iCs w:val="0"/>
                <w:color w:val="000000"/>
                <w:sz w:val="18"/>
                <w:szCs w:val="18"/>
                <w:u w:val="none"/>
              </w:rPr>
            </w:pP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B9C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59D9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30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B5B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159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00826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8DE383">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104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DB5F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65B6F0">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0A3C2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26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1692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43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6B5D2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33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0CC1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4C4F6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12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48389">
            <w:pPr>
              <w:jc w:val="center"/>
              <w:rPr>
                <w:rFonts w:hint="eastAsia" w:ascii="宋体" w:hAnsi="宋体" w:eastAsia="宋体" w:cs="宋体"/>
                <w:i w:val="0"/>
                <w:iCs w:val="0"/>
                <w:color w:val="000000"/>
                <w:sz w:val="18"/>
                <w:szCs w:val="18"/>
                <w:u w:val="none"/>
              </w:rPr>
            </w:pPr>
          </w:p>
        </w:tc>
        <w:tc>
          <w:tcPr>
            <w:tcW w:w="43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209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此项目的5万元，指标文号为赤松材指教【2025】129号，按时完成所部属的审计工作，审计项目不少于10个，通过专项审计补贴经费可以保障单位业务正常开展，达到审计人员满意度</w:t>
            </w:r>
          </w:p>
        </w:tc>
        <w:tc>
          <w:tcPr>
            <w:tcW w:w="3329"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3E62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p>
        </w:tc>
      </w:tr>
      <w:tr w14:paraId="72736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2B8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3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9809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9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36F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F4F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8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856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4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D44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8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6E7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7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C73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8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9A1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07F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E16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6EE6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4FFEB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950" w:type="dxa"/>
            <w:vMerge w:val="restart"/>
            <w:tcBorders>
              <w:top w:val="single" w:color="000000" w:sz="4" w:space="0"/>
              <w:left w:val="single" w:color="000000" w:sz="4" w:space="0"/>
              <w:bottom w:val="nil"/>
              <w:right w:val="single" w:color="000000" w:sz="4" w:space="0"/>
            </w:tcBorders>
            <w:shd w:val="clear" w:color="auto" w:fill="auto"/>
            <w:vAlign w:val="center"/>
          </w:tcPr>
          <w:p w14:paraId="465DBA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316" w:type="dxa"/>
            <w:vMerge w:val="restart"/>
            <w:tcBorders>
              <w:top w:val="single" w:color="000000" w:sz="4" w:space="0"/>
              <w:left w:val="single" w:color="000000" w:sz="4" w:space="0"/>
              <w:bottom w:val="nil"/>
              <w:right w:val="single" w:color="000000" w:sz="4" w:space="0"/>
            </w:tcBorders>
            <w:shd w:val="clear" w:color="auto" w:fill="auto"/>
            <w:vAlign w:val="center"/>
          </w:tcPr>
          <w:p w14:paraId="53A857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950" w:type="dxa"/>
            <w:vMerge w:val="restart"/>
            <w:tcBorders>
              <w:top w:val="single" w:color="000000" w:sz="4" w:space="0"/>
              <w:left w:val="single" w:color="000000" w:sz="4" w:space="0"/>
              <w:bottom w:val="nil"/>
              <w:right w:val="single" w:color="000000" w:sz="4" w:space="0"/>
            </w:tcBorders>
            <w:shd w:val="clear" w:color="auto" w:fill="auto"/>
            <w:vAlign w:val="center"/>
          </w:tcPr>
          <w:p w14:paraId="59E48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2CB71F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差旅报销标准</w:t>
            </w:r>
          </w:p>
        </w:tc>
        <w:tc>
          <w:tcPr>
            <w:tcW w:w="850" w:type="dxa"/>
            <w:tcBorders>
              <w:top w:val="single" w:color="000000" w:sz="4" w:space="0"/>
              <w:left w:val="single" w:color="000000" w:sz="4" w:space="0"/>
              <w:bottom w:val="nil"/>
              <w:right w:val="single" w:color="000000" w:sz="4" w:space="0"/>
            </w:tcBorders>
            <w:shd w:val="clear" w:color="auto" w:fill="auto"/>
            <w:vAlign w:val="center"/>
          </w:tcPr>
          <w:p w14:paraId="2B38A0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50" w:type="dxa"/>
            <w:tcBorders>
              <w:top w:val="single" w:color="000000" w:sz="4" w:space="0"/>
              <w:left w:val="single" w:color="000000" w:sz="4" w:space="0"/>
              <w:bottom w:val="nil"/>
              <w:right w:val="single" w:color="000000" w:sz="4" w:space="0"/>
            </w:tcBorders>
            <w:shd w:val="clear" w:color="auto" w:fill="auto"/>
            <w:vAlign w:val="center"/>
          </w:tcPr>
          <w:p w14:paraId="2A0A1A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4190B8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180</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487ED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15" w:type="dxa"/>
            <w:tcBorders>
              <w:top w:val="single" w:color="000000" w:sz="4" w:space="0"/>
              <w:left w:val="single" w:color="000000" w:sz="4" w:space="0"/>
              <w:bottom w:val="nil"/>
              <w:right w:val="single" w:color="000000" w:sz="4" w:space="0"/>
            </w:tcBorders>
            <w:shd w:val="clear" w:color="auto" w:fill="auto"/>
            <w:vAlign w:val="center"/>
          </w:tcPr>
          <w:p w14:paraId="06A5E1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元/人/天</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70B6FC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783540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2" w:type="dxa"/>
            <w:tcBorders>
              <w:top w:val="single" w:color="000000" w:sz="4" w:space="0"/>
              <w:left w:val="single" w:color="000000" w:sz="4" w:space="0"/>
              <w:bottom w:val="nil"/>
              <w:right w:val="single" w:color="000000" w:sz="4" w:space="0"/>
            </w:tcBorders>
            <w:shd w:val="clear" w:color="auto" w:fill="auto"/>
            <w:vAlign w:val="center"/>
          </w:tcPr>
          <w:p w14:paraId="77709138">
            <w:pPr>
              <w:jc w:val="center"/>
              <w:rPr>
                <w:rFonts w:hint="eastAsia" w:ascii="宋体" w:hAnsi="宋体" w:eastAsia="宋体" w:cs="宋体"/>
                <w:i w:val="0"/>
                <w:iCs w:val="0"/>
                <w:color w:val="000000"/>
                <w:sz w:val="18"/>
                <w:szCs w:val="18"/>
                <w:u w:val="none"/>
              </w:rPr>
            </w:pPr>
          </w:p>
        </w:tc>
      </w:tr>
      <w:tr w14:paraId="17496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950" w:type="dxa"/>
            <w:vMerge w:val="continue"/>
            <w:tcBorders>
              <w:top w:val="single" w:color="000000" w:sz="4" w:space="0"/>
              <w:left w:val="single" w:color="000000" w:sz="4" w:space="0"/>
              <w:bottom w:val="nil"/>
              <w:right w:val="single" w:color="000000" w:sz="4" w:space="0"/>
            </w:tcBorders>
            <w:shd w:val="clear" w:color="auto" w:fill="auto"/>
            <w:vAlign w:val="center"/>
          </w:tcPr>
          <w:p w14:paraId="63F2BCA2">
            <w:pPr>
              <w:jc w:val="center"/>
              <w:rPr>
                <w:rFonts w:hint="eastAsia" w:ascii="宋体" w:hAnsi="宋体" w:eastAsia="宋体" w:cs="宋体"/>
                <w:i w:val="0"/>
                <w:iCs w:val="0"/>
                <w:color w:val="000000"/>
                <w:sz w:val="18"/>
                <w:szCs w:val="18"/>
                <w:u w:val="none"/>
              </w:rPr>
            </w:pPr>
          </w:p>
        </w:tc>
        <w:tc>
          <w:tcPr>
            <w:tcW w:w="316" w:type="dxa"/>
            <w:vMerge w:val="continue"/>
            <w:tcBorders>
              <w:top w:val="single" w:color="000000" w:sz="4" w:space="0"/>
              <w:left w:val="single" w:color="000000" w:sz="4" w:space="0"/>
              <w:bottom w:val="nil"/>
              <w:right w:val="single" w:color="000000" w:sz="4" w:space="0"/>
            </w:tcBorders>
            <w:shd w:val="clear" w:color="auto" w:fill="auto"/>
            <w:vAlign w:val="center"/>
          </w:tcPr>
          <w:p w14:paraId="536E2A01">
            <w:pPr>
              <w:jc w:val="center"/>
              <w:rPr>
                <w:rFonts w:hint="eastAsia" w:ascii="宋体" w:hAnsi="宋体" w:eastAsia="宋体" w:cs="宋体"/>
                <w:i w:val="0"/>
                <w:iCs w:val="0"/>
                <w:color w:val="000000"/>
                <w:sz w:val="18"/>
                <w:szCs w:val="18"/>
                <w:u w:val="none"/>
              </w:rPr>
            </w:pPr>
          </w:p>
        </w:tc>
        <w:tc>
          <w:tcPr>
            <w:tcW w:w="950" w:type="dxa"/>
            <w:vMerge w:val="continue"/>
            <w:tcBorders>
              <w:top w:val="single" w:color="000000" w:sz="4" w:space="0"/>
              <w:left w:val="single" w:color="000000" w:sz="4" w:space="0"/>
              <w:bottom w:val="nil"/>
              <w:right w:val="single" w:color="000000" w:sz="4" w:space="0"/>
            </w:tcBorders>
            <w:shd w:val="clear" w:color="auto" w:fill="auto"/>
            <w:vAlign w:val="center"/>
          </w:tcPr>
          <w:p w14:paraId="1B87D8D0">
            <w:pPr>
              <w:jc w:val="center"/>
              <w:rPr>
                <w:rFonts w:hint="eastAsia" w:ascii="宋体" w:hAnsi="宋体" w:eastAsia="宋体" w:cs="宋体"/>
                <w:i w:val="0"/>
                <w:iCs w:val="0"/>
                <w:color w:val="000000"/>
                <w:sz w:val="18"/>
                <w:szCs w:val="18"/>
                <w:u w:val="none"/>
              </w:rPr>
            </w:pP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05BCA3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项目总成本</w:t>
            </w:r>
          </w:p>
        </w:tc>
        <w:tc>
          <w:tcPr>
            <w:tcW w:w="850" w:type="dxa"/>
            <w:tcBorders>
              <w:top w:val="single" w:color="000000" w:sz="4" w:space="0"/>
              <w:left w:val="single" w:color="000000" w:sz="4" w:space="0"/>
              <w:bottom w:val="nil"/>
              <w:right w:val="single" w:color="000000" w:sz="4" w:space="0"/>
            </w:tcBorders>
            <w:shd w:val="clear" w:color="auto" w:fill="auto"/>
            <w:vAlign w:val="center"/>
          </w:tcPr>
          <w:p w14:paraId="73E578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50" w:type="dxa"/>
            <w:tcBorders>
              <w:top w:val="single" w:color="000000" w:sz="4" w:space="0"/>
              <w:left w:val="single" w:color="000000" w:sz="4" w:space="0"/>
              <w:bottom w:val="nil"/>
              <w:right w:val="single" w:color="000000" w:sz="4" w:space="0"/>
            </w:tcBorders>
            <w:shd w:val="clear" w:color="auto" w:fill="auto"/>
            <w:vAlign w:val="center"/>
          </w:tcPr>
          <w:p w14:paraId="78676E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3286C9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7F23F7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15" w:type="dxa"/>
            <w:tcBorders>
              <w:top w:val="single" w:color="000000" w:sz="4" w:space="0"/>
              <w:left w:val="single" w:color="000000" w:sz="4" w:space="0"/>
              <w:bottom w:val="nil"/>
              <w:right w:val="single" w:color="000000" w:sz="4" w:space="0"/>
            </w:tcBorders>
            <w:shd w:val="clear" w:color="auto" w:fill="auto"/>
            <w:vAlign w:val="center"/>
          </w:tcPr>
          <w:p w14:paraId="147FF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336034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7B339C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2" w:type="dxa"/>
            <w:tcBorders>
              <w:top w:val="single" w:color="000000" w:sz="4" w:space="0"/>
              <w:left w:val="single" w:color="000000" w:sz="4" w:space="0"/>
              <w:bottom w:val="nil"/>
              <w:right w:val="single" w:color="000000" w:sz="4" w:space="0"/>
            </w:tcBorders>
            <w:shd w:val="clear" w:color="auto" w:fill="auto"/>
            <w:vAlign w:val="center"/>
          </w:tcPr>
          <w:p w14:paraId="50814117">
            <w:pPr>
              <w:jc w:val="center"/>
              <w:rPr>
                <w:rFonts w:hint="eastAsia" w:ascii="宋体" w:hAnsi="宋体" w:eastAsia="宋体" w:cs="宋体"/>
                <w:i w:val="0"/>
                <w:iCs w:val="0"/>
                <w:color w:val="000000"/>
                <w:sz w:val="18"/>
                <w:szCs w:val="18"/>
                <w:u w:val="none"/>
              </w:rPr>
            </w:pPr>
          </w:p>
        </w:tc>
      </w:tr>
      <w:tr w14:paraId="0C9E9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950" w:type="dxa"/>
            <w:vMerge w:val="continue"/>
            <w:tcBorders>
              <w:top w:val="single" w:color="000000" w:sz="4" w:space="0"/>
              <w:left w:val="single" w:color="000000" w:sz="4" w:space="0"/>
              <w:bottom w:val="nil"/>
              <w:right w:val="single" w:color="000000" w:sz="4" w:space="0"/>
            </w:tcBorders>
            <w:shd w:val="clear" w:color="auto" w:fill="auto"/>
            <w:vAlign w:val="center"/>
          </w:tcPr>
          <w:p w14:paraId="752DE0C6">
            <w:pPr>
              <w:jc w:val="center"/>
              <w:rPr>
                <w:rFonts w:hint="eastAsia" w:ascii="宋体" w:hAnsi="宋体" w:eastAsia="宋体" w:cs="宋体"/>
                <w:i w:val="0"/>
                <w:iCs w:val="0"/>
                <w:color w:val="000000"/>
                <w:sz w:val="18"/>
                <w:szCs w:val="18"/>
                <w:u w:val="none"/>
              </w:rPr>
            </w:pPr>
          </w:p>
        </w:tc>
        <w:tc>
          <w:tcPr>
            <w:tcW w:w="316" w:type="dxa"/>
            <w:vMerge w:val="continue"/>
            <w:tcBorders>
              <w:top w:val="single" w:color="000000" w:sz="4" w:space="0"/>
              <w:left w:val="single" w:color="000000" w:sz="4" w:space="0"/>
              <w:bottom w:val="nil"/>
              <w:right w:val="single" w:color="000000" w:sz="4" w:space="0"/>
            </w:tcBorders>
            <w:shd w:val="clear" w:color="auto" w:fill="auto"/>
            <w:vAlign w:val="center"/>
          </w:tcPr>
          <w:p w14:paraId="21542DD8">
            <w:pPr>
              <w:jc w:val="center"/>
              <w:rPr>
                <w:rFonts w:hint="eastAsia" w:ascii="宋体" w:hAnsi="宋体" w:eastAsia="宋体" w:cs="宋体"/>
                <w:i w:val="0"/>
                <w:iCs w:val="0"/>
                <w:color w:val="000000"/>
                <w:sz w:val="18"/>
                <w:szCs w:val="18"/>
                <w:u w:val="none"/>
              </w:rPr>
            </w:pPr>
          </w:p>
        </w:tc>
        <w:tc>
          <w:tcPr>
            <w:tcW w:w="950" w:type="dxa"/>
            <w:vMerge w:val="restart"/>
            <w:tcBorders>
              <w:top w:val="single" w:color="000000" w:sz="4" w:space="0"/>
              <w:left w:val="single" w:color="000000" w:sz="4" w:space="0"/>
              <w:bottom w:val="nil"/>
              <w:right w:val="single" w:color="000000" w:sz="4" w:space="0"/>
            </w:tcBorders>
            <w:shd w:val="clear" w:color="auto" w:fill="auto"/>
            <w:vAlign w:val="center"/>
          </w:tcPr>
          <w:p w14:paraId="65D6EC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57201E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项目审计完成率</w:t>
            </w:r>
          </w:p>
        </w:tc>
        <w:tc>
          <w:tcPr>
            <w:tcW w:w="850" w:type="dxa"/>
            <w:tcBorders>
              <w:top w:val="single" w:color="000000" w:sz="4" w:space="0"/>
              <w:left w:val="single" w:color="000000" w:sz="4" w:space="0"/>
              <w:bottom w:val="nil"/>
              <w:right w:val="single" w:color="000000" w:sz="4" w:space="0"/>
            </w:tcBorders>
            <w:shd w:val="clear" w:color="auto" w:fill="auto"/>
            <w:vAlign w:val="center"/>
          </w:tcPr>
          <w:p w14:paraId="563F1D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50" w:type="dxa"/>
            <w:tcBorders>
              <w:top w:val="single" w:color="000000" w:sz="4" w:space="0"/>
              <w:left w:val="single" w:color="000000" w:sz="4" w:space="0"/>
              <w:bottom w:val="nil"/>
              <w:right w:val="single" w:color="000000" w:sz="4" w:space="0"/>
            </w:tcBorders>
            <w:shd w:val="clear" w:color="auto" w:fill="auto"/>
            <w:vAlign w:val="center"/>
          </w:tcPr>
          <w:p w14:paraId="59A32E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6B42DF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7874EE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15" w:type="dxa"/>
            <w:tcBorders>
              <w:top w:val="single" w:color="000000" w:sz="4" w:space="0"/>
              <w:left w:val="single" w:color="000000" w:sz="4" w:space="0"/>
              <w:bottom w:val="nil"/>
              <w:right w:val="single" w:color="000000" w:sz="4" w:space="0"/>
            </w:tcBorders>
            <w:shd w:val="clear" w:color="auto" w:fill="auto"/>
            <w:vAlign w:val="center"/>
          </w:tcPr>
          <w:p w14:paraId="57D6DC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19C967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681FE1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2" w:type="dxa"/>
            <w:tcBorders>
              <w:top w:val="single" w:color="000000" w:sz="4" w:space="0"/>
              <w:left w:val="single" w:color="000000" w:sz="4" w:space="0"/>
              <w:bottom w:val="nil"/>
              <w:right w:val="single" w:color="000000" w:sz="4" w:space="0"/>
            </w:tcBorders>
            <w:shd w:val="clear" w:color="auto" w:fill="auto"/>
            <w:vAlign w:val="center"/>
          </w:tcPr>
          <w:p w14:paraId="5C3918ED">
            <w:pPr>
              <w:jc w:val="center"/>
              <w:rPr>
                <w:rFonts w:hint="eastAsia" w:ascii="宋体" w:hAnsi="宋体" w:eastAsia="宋体" w:cs="宋体"/>
                <w:i w:val="0"/>
                <w:iCs w:val="0"/>
                <w:color w:val="000000"/>
                <w:sz w:val="18"/>
                <w:szCs w:val="18"/>
                <w:u w:val="none"/>
              </w:rPr>
            </w:pPr>
          </w:p>
        </w:tc>
      </w:tr>
      <w:tr w14:paraId="593B2B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50" w:type="dxa"/>
            <w:vMerge w:val="continue"/>
            <w:tcBorders>
              <w:top w:val="single" w:color="000000" w:sz="4" w:space="0"/>
              <w:left w:val="single" w:color="000000" w:sz="4" w:space="0"/>
              <w:bottom w:val="nil"/>
              <w:right w:val="single" w:color="000000" w:sz="4" w:space="0"/>
            </w:tcBorders>
            <w:shd w:val="clear" w:color="auto" w:fill="auto"/>
            <w:vAlign w:val="center"/>
          </w:tcPr>
          <w:p w14:paraId="676DD1AD">
            <w:pPr>
              <w:jc w:val="center"/>
              <w:rPr>
                <w:rFonts w:hint="eastAsia" w:ascii="宋体" w:hAnsi="宋体" w:eastAsia="宋体" w:cs="宋体"/>
                <w:i w:val="0"/>
                <w:iCs w:val="0"/>
                <w:color w:val="000000"/>
                <w:sz w:val="18"/>
                <w:szCs w:val="18"/>
                <w:u w:val="none"/>
              </w:rPr>
            </w:pPr>
          </w:p>
        </w:tc>
        <w:tc>
          <w:tcPr>
            <w:tcW w:w="316" w:type="dxa"/>
            <w:vMerge w:val="continue"/>
            <w:tcBorders>
              <w:top w:val="single" w:color="000000" w:sz="4" w:space="0"/>
              <w:left w:val="single" w:color="000000" w:sz="4" w:space="0"/>
              <w:bottom w:val="nil"/>
              <w:right w:val="single" w:color="000000" w:sz="4" w:space="0"/>
            </w:tcBorders>
            <w:shd w:val="clear" w:color="auto" w:fill="auto"/>
            <w:vAlign w:val="center"/>
          </w:tcPr>
          <w:p w14:paraId="2C6D1ACA">
            <w:pPr>
              <w:jc w:val="center"/>
              <w:rPr>
                <w:rFonts w:hint="eastAsia" w:ascii="宋体" w:hAnsi="宋体" w:eastAsia="宋体" w:cs="宋体"/>
                <w:i w:val="0"/>
                <w:iCs w:val="0"/>
                <w:color w:val="000000"/>
                <w:sz w:val="18"/>
                <w:szCs w:val="18"/>
                <w:u w:val="none"/>
              </w:rPr>
            </w:pPr>
          </w:p>
        </w:tc>
        <w:tc>
          <w:tcPr>
            <w:tcW w:w="950" w:type="dxa"/>
            <w:vMerge w:val="continue"/>
            <w:tcBorders>
              <w:top w:val="single" w:color="000000" w:sz="4" w:space="0"/>
              <w:left w:val="single" w:color="000000" w:sz="4" w:space="0"/>
              <w:bottom w:val="nil"/>
              <w:right w:val="single" w:color="000000" w:sz="4" w:space="0"/>
            </w:tcBorders>
            <w:shd w:val="clear" w:color="auto" w:fill="auto"/>
            <w:vAlign w:val="center"/>
          </w:tcPr>
          <w:p w14:paraId="345C9181">
            <w:pPr>
              <w:jc w:val="center"/>
              <w:rPr>
                <w:rFonts w:hint="eastAsia" w:ascii="宋体" w:hAnsi="宋体" w:eastAsia="宋体" w:cs="宋体"/>
                <w:i w:val="0"/>
                <w:iCs w:val="0"/>
                <w:color w:val="000000"/>
                <w:sz w:val="18"/>
                <w:szCs w:val="18"/>
                <w:u w:val="none"/>
              </w:rPr>
            </w:pP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31811D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单位审计完成率</w:t>
            </w:r>
          </w:p>
        </w:tc>
        <w:tc>
          <w:tcPr>
            <w:tcW w:w="850" w:type="dxa"/>
            <w:tcBorders>
              <w:top w:val="single" w:color="000000" w:sz="4" w:space="0"/>
              <w:left w:val="single" w:color="000000" w:sz="4" w:space="0"/>
              <w:bottom w:val="nil"/>
              <w:right w:val="single" w:color="000000" w:sz="4" w:space="0"/>
            </w:tcBorders>
            <w:shd w:val="clear" w:color="auto" w:fill="auto"/>
            <w:vAlign w:val="center"/>
          </w:tcPr>
          <w:p w14:paraId="6EE2CB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50" w:type="dxa"/>
            <w:tcBorders>
              <w:top w:val="single" w:color="000000" w:sz="4" w:space="0"/>
              <w:left w:val="single" w:color="000000" w:sz="4" w:space="0"/>
              <w:bottom w:val="nil"/>
              <w:right w:val="single" w:color="000000" w:sz="4" w:space="0"/>
            </w:tcBorders>
            <w:shd w:val="clear" w:color="auto" w:fill="auto"/>
            <w:vAlign w:val="center"/>
          </w:tcPr>
          <w:p w14:paraId="21920B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4C3D09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06DEBD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15" w:type="dxa"/>
            <w:tcBorders>
              <w:top w:val="single" w:color="000000" w:sz="4" w:space="0"/>
              <w:left w:val="single" w:color="000000" w:sz="4" w:space="0"/>
              <w:bottom w:val="nil"/>
              <w:right w:val="single" w:color="000000" w:sz="4" w:space="0"/>
            </w:tcBorders>
            <w:shd w:val="clear" w:color="auto" w:fill="auto"/>
            <w:vAlign w:val="center"/>
          </w:tcPr>
          <w:p w14:paraId="244114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5BCD13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006BE8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2" w:type="dxa"/>
            <w:tcBorders>
              <w:top w:val="single" w:color="000000" w:sz="4" w:space="0"/>
              <w:left w:val="single" w:color="000000" w:sz="4" w:space="0"/>
              <w:bottom w:val="nil"/>
              <w:right w:val="single" w:color="000000" w:sz="4" w:space="0"/>
            </w:tcBorders>
            <w:shd w:val="clear" w:color="auto" w:fill="auto"/>
            <w:vAlign w:val="center"/>
          </w:tcPr>
          <w:p w14:paraId="5B7B339C">
            <w:pPr>
              <w:jc w:val="center"/>
              <w:rPr>
                <w:rFonts w:hint="eastAsia" w:ascii="宋体" w:hAnsi="宋体" w:eastAsia="宋体" w:cs="宋体"/>
                <w:i w:val="0"/>
                <w:iCs w:val="0"/>
                <w:color w:val="000000"/>
                <w:sz w:val="18"/>
                <w:szCs w:val="18"/>
                <w:u w:val="none"/>
              </w:rPr>
            </w:pPr>
          </w:p>
        </w:tc>
      </w:tr>
      <w:tr w14:paraId="66651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50" w:type="dxa"/>
            <w:vMerge w:val="continue"/>
            <w:tcBorders>
              <w:top w:val="single" w:color="000000" w:sz="4" w:space="0"/>
              <w:left w:val="single" w:color="000000" w:sz="4" w:space="0"/>
              <w:bottom w:val="nil"/>
              <w:right w:val="single" w:color="000000" w:sz="4" w:space="0"/>
            </w:tcBorders>
            <w:shd w:val="clear" w:color="auto" w:fill="auto"/>
            <w:vAlign w:val="center"/>
          </w:tcPr>
          <w:p w14:paraId="670342F7">
            <w:pPr>
              <w:jc w:val="center"/>
              <w:rPr>
                <w:rFonts w:hint="eastAsia" w:ascii="宋体" w:hAnsi="宋体" w:eastAsia="宋体" w:cs="宋体"/>
                <w:i w:val="0"/>
                <w:iCs w:val="0"/>
                <w:color w:val="000000"/>
                <w:sz w:val="18"/>
                <w:szCs w:val="18"/>
                <w:u w:val="none"/>
              </w:rPr>
            </w:pPr>
          </w:p>
        </w:tc>
        <w:tc>
          <w:tcPr>
            <w:tcW w:w="316" w:type="dxa"/>
            <w:vMerge w:val="continue"/>
            <w:tcBorders>
              <w:top w:val="single" w:color="000000" w:sz="4" w:space="0"/>
              <w:left w:val="single" w:color="000000" w:sz="4" w:space="0"/>
              <w:bottom w:val="nil"/>
              <w:right w:val="single" w:color="000000" w:sz="4" w:space="0"/>
            </w:tcBorders>
            <w:shd w:val="clear" w:color="auto" w:fill="auto"/>
            <w:vAlign w:val="center"/>
          </w:tcPr>
          <w:p w14:paraId="62504968">
            <w:pPr>
              <w:jc w:val="center"/>
              <w:rPr>
                <w:rFonts w:hint="eastAsia" w:ascii="宋体" w:hAnsi="宋体" w:eastAsia="宋体" w:cs="宋体"/>
                <w:i w:val="0"/>
                <w:iCs w:val="0"/>
                <w:color w:val="000000"/>
                <w:sz w:val="18"/>
                <w:szCs w:val="18"/>
                <w:u w:val="none"/>
              </w:rPr>
            </w:pPr>
          </w:p>
        </w:tc>
        <w:tc>
          <w:tcPr>
            <w:tcW w:w="950" w:type="dxa"/>
            <w:vMerge w:val="restart"/>
            <w:tcBorders>
              <w:top w:val="single" w:color="000000" w:sz="4" w:space="0"/>
              <w:left w:val="single" w:color="000000" w:sz="4" w:space="0"/>
              <w:bottom w:val="nil"/>
              <w:right w:val="single" w:color="000000" w:sz="4" w:space="0"/>
            </w:tcBorders>
            <w:shd w:val="clear" w:color="auto" w:fill="auto"/>
            <w:vAlign w:val="center"/>
          </w:tcPr>
          <w:p w14:paraId="6B4B3D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60BF81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项目开始时间</w:t>
            </w:r>
          </w:p>
        </w:tc>
        <w:tc>
          <w:tcPr>
            <w:tcW w:w="850" w:type="dxa"/>
            <w:tcBorders>
              <w:top w:val="single" w:color="000000" w:sz="4" w:space="0"/>
              <w:left w:val="single" w:color="000000" w:sz="4" w:space="0"/>
              <w:bottom w:val="nil"/>
              <w:right w:val="single" w:color="000000" w:sz="4" w:space="0"/>
            </w:tcBorders>
            <w:shd w:val="clear" w:color="auto" w:fill="auto"/>
            <w:vAlign w:val="center"/>
          </w:tcPr>
          <w:p w14:paraId="064221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50" w:type="dxa"/>
            <w:tcBorders>
              <w:top w:val="single" w:color="000000" w:sz="4" w:space="0"/>
              <w:left w:val="single" w:color="000000" w:sz="4" w:space="0"/>
              <w:bottom w:val="nil"/>
              <w:right w:val="single" w:color="000000" w:sz="4" w:space="0"/>
            </w:tcBorders>
            <w:shd w:val="clear" w:color="auto" w:fill="auto"/>
            <w:vAlign w:val="center"/>
          </w:tcPr>
          <w:p w14:paraId="57A0D0E3">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nil"/>
              <w:right w:val="single" w:color="000000" w:sz="4" w:space="0"/>
            </w:tcBorders>
            <w:shd w:val="clear" w:color="auto" w:fill="auto"/>
            <w:vAlign w:val="center"/>
          </w:tcPr>
          <w:p w14:paraId="330F03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2025年1月1日</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33E818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15" w:type="dxa"/>
            <w:tcBorders>
              <w:top w:val="single" w:color="000000" w:sz="4" w:space="0"/>
              <w:left w:val="single" w:color="000000" w:sz="4" w:space="0"/>
              <w:bottom w:val="nil"/>
              <w:right w:val="single" w:color="000000" w:sz="4" w:space="0"/>
            </w:tcBorders>
            <w:shd w:val="clear" w:color="auto" w:fill="auto"/>
            <w:vAlign w:val="center"/>
          </w:tcPr>
          <w:p w14:paraId="65907E7B">
            <w:pPr>
              <w:jc w:val="center"/>
              <w:rPr>
                <w:rFonts w:hint="eastAsia" w:ascii="宋体" w:hAnsi="宋体" w:eastAsia="宋体" w:cs="宋体"/>
                <w:i w:val="0"/>
                <w:iCs w:val="0"/>
                <w:color w:val="000000"/>
                <w:sz w:val="18"/>
                <w:szCs w:val="18"/>
                <w:u w:val="none"/>
              </w:rPr>
            </w:pPr>
          </w:p>
        </w:tc>
        <w:tc>
          <w:tcPr>
            <w:tcW w:w="483" w:type="dxa"/>
            <w:tcBorders>
              <w:top w:val="single" w:color="000000" w:sz="4" w:space="0"/>
              <w:left w:val="single" w:color="000000" w:sz="4" w:space="0"/>
              <w:bottom w:val="nil"/>
              <w:right w:val="single" w:color="000000" w:sz="4" w:space="0"/>
            </w:tcBorders>
            <w:shd w:val="clear" w:color="auto" w:fill="auto"/>
            <w:vAlign w:val="center"/>
          </w:tcPr>
          <w:p w14:paraId="7370D4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7D0B97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2" w:type="dxa"/>
            <w:tcBorders>
              <w:top w:val="single" w:color="000000" w:sz="4" w:space="0"/>
              <w:left w:val="single" w:color="000000" w:sz="4" w:space="0"/>
              <w:bottom w:val="nil"/>
              <w:right w:val="single" w:color="000000" w:sz="4" w:space="0"/>
            </w:tcBorders>
            <w:shd w:val="clear" w:color="auto" w:fill="auto"/>
            <w:vAlign w:val="center"/>
          </w:tcPr>
          <w:p w14:paraId="0778EBA9">
            <w:pPr>
              <w:jc w:val="center"/>
              <w:rPr>
                <w:rFonts w:hint="eastAsia" w:ascii="宋体" w:hAnsi="宋体" w:eastAsia="宋体" w:cs="宋体"/>
                <w:i w:val="0"/>
                <w:iCs w:val="0"/>
                <w:color w:val="000000"/>
                <w:sz w:val="18"/>
                <w:szCs w:val="18"/>
                <w:u w:val="none"/>
              </w:rPr>
            </w:pPr>
          </w:p>
        </w:tc>
      </w:tr>
      <w:tr w14:paraId="6264B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950" w:type="dxa"/>
            <w:vMerge w:val="continue"/>
            <w:tcBorders>
              <w:top w:val="single" w:color="000000" w:sz="4" w:space="0"/>
              <w:left w:val="single" w:color="000000" w:sz="4" w:space="0"/>
              <w:bottom w:val="nil"/>
              <w:right w:val="single" w:color="000000" w:sz="4" w:space="0"/>
            </w:tcBorders>
            <w:shd w:val="clear" w:color="auto" w:fill="auto"/>
            <w:vAlign w:val="center"/>
          </w:tcPr>
          <w:p w14:paraId="0DCE7615">
            <w:pPr>
              <w:jc w:val="center"/>
              <w:rPr>
                <w:rFonts w:hint="eastAsia" w:ascii="宋体" w:hAnsi="宋体" w:eastAsia="宋体" w:cs="宋体"/>
                <w:i w:val="0"/>
                <w:iCs w:val="0"/>
                <w:color w:val="000000"/>
                <w:sz w:val="18"/>
                <w:szCs w:val="18"/>
                <w:u w:val="none"/>
              </w:rPr>
            </w:pPr>
          </w:p>
        </w:tc>
        <w:tc>
          <w:tcPr>
            <w:tcW w:w="316" w:type="dxa"/>
            <w:vMerge w:val="continue"/>
            <w:tcBorders>
              <w:top w:val="single" w:color="000000" w:sz="4" w:space="0"/>
              <w:left w:val="single" w:color="000000" w:sz="4" w:space="0"/>
              <w:bottom w:val="nil"/>
              <w:right w:val="single" w:color="000000" w:sz="4" w:space="0"/>
            </w:tcBorders>
            <w:shd w:val="clear" w:color="auto" w:fill="auto"/>
            <w:vAlign w:val="center"/>
          </w:tcPr>
          <w:p w14:paraId="2C69AC3A">
            <w:pPr>
              <w:jc w:val="center"/>
              <w:rPr>
                <w:rFonts w:hint="eastAsia" w:ascii="宋体" w:hAnsi="宋体" w:eastAsia="宋体" w:cs="宋体"/>
                <w:i w:val="0"/>
                <w:iCs w:val="0"/>
                <w:color w:val="000000"/>
                <w:sz w:val="18"/>
                <w:szCs w:val="18"/>
                <w:u w:val="none"/>
              </w:rPr>
            </w:pPr>
          </w:p>
        </w:tc>
        <w:tc>
          <w:tcPr>
            <w:tcW w:w="950" w:type="dxa"/>
            <w:vMerge w:val="continue"/>
            <w:tcBorders>
              <w:top w:val="single" w:color="000000" w:sz="4" w:space="0"/>
              <w:left w:val="single" w:color="000000" w:sz="4" w:space="0"/>
              <w:bottom w:val="nil"/>
              <w:right w:val="single" w:color="000000" w:sz="4" w:space="0"/>
            </w:tcBorders>
            <w:shd w:val="clear" w:color="auto" w:fill="auto"/>
            <w:vAlign w:val="center"/>
          </w:tcPr>
          <w:p w14:paraId="1274BDA5">
            <w:pPr>
              <w:jc w:val="center"/>
              <w:rPr>
                <w:rFonts w:hint="eastAsia" w:ascii="宋体" w:hAnsi="宋体" w:eastAsia="宋体" w:cs="宋体"/>
                <w:i w:val="0"/>
                <w:iCs w:val="0"/>
                <w:color w:val="000000"/>
                <w:sz w:val="18"/>
                <w:szCs w:val="18"/>
                <w:u w:val="none"/>
              </w:rPr>
            </w:pP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7FF61E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项目结束时间</w:t>
            </w:r>
          </w:p>
        </w:tc>
        <w:tc>
          <w:tcPr>
            <w:tcW w:w="850" w:type="dxa"/>
            <w:tcBorders>
              <w:top w:val="single" w:color="000000" w:sz="4" w:space="0"/>
              <w:left w:val="single" w:color="000000" w:sz="4" w:space="0"/>
              <w:bottom w:val="nil"/>
              <w:right w:val="single" w:color="000000" w:sz="4" w:space="0"/>
            </w:tcBorders>
            <w:shd w:val="clear" w:color="auto" w:fill="auto"/>
            <w:vAlign w:val="center"/>
          </w:tcPr>
          <w:p w14:paraId="2E2249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50" w:type="dxa"/>
            <w:tcBorders>
              <w:top w:val="single" w:color="000000" w:sz="4" w:space="0"/>
              <w:left w:val="single" w:color="000000" w:sz="4" w:space="0"/>
              <w:bottom w:val="nil"/>
              <w:right w:val="single" w:color="000000" w:sz="4" w:space="0"/>
            </w:tcBorders>
            <w:shd w:val="clear" w:color="auto" w:fill="auto"/>
            <w:vAlign w:val="center"/>
          </w:tcPr>
          <w:p w14:paraId="6E593894">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nil"/>
              <w:right w:val="single" w:color="000000" w:sz="4" w:space="0"/>
            </w:tcBorders>
            <w:shd w:val="clear" w:color="auto" w:fill="auto"/>
            <w:vAlign w:val="center"/>
          </w:tcPr>
          <w:p w14:paraId="004A9E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2025年12月31日</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6095C1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15" w:type="dxa"/>
            <w:tcBorders>
              <w:top w:val="single" w:color="000000" w:sz="4" w:space="0"/>
              <w:left w:val="single" w:color="000000" w:sz="4" w:space="0"/>
              <w:bottom w:val="nil"/>
              <w:right w:val="single" w:color="000000" w:sz="4" w:space="0"/>
            </w:tcBorders>
            <w:shd w:val="clear" w:color="auto" w:fill="auto"/>
            <w:vAlign w:val="center"/>
          </w:tcPr>
          <w:p w14:paraId="12571390">
            <w:pPr>
              <w:jc w:val="center"/>
              <w:rPr>
                <w:rFonts w:hint="eastAsia" w:ascii="宋体" w:hAnsi="宋体" w:eastAsia="宋体" w:cs="宋体"/>
                <w:i w:val="0"/>
                <w:iCs w:val="0"/>
                <w:color w:val="000000"/>
                <w:sz w:val="18"/>
                <w:szCs w:val="18"/>
                <w:u w:val="none"/>
              </w:rPr>
            </w:pPr>
          </w:p>
        </w:tc>
        <w:tc>
          <w:tcPr>
            <w:tcW w:w="483" w:type="dxa"/>
            <w:tcBorders>
              <w:top w:val="single" w:color="000000" w:sz="4" w:space="0"/>
              <w:left w:val="single" w:color="000000" w:sz="4" w:space="0"/>
              <w:bottom w:val="nil"/>
              <w:right w:val="single" w:color="000000" w:sz="4" w:space="0"/>
            </w:tcBorders>
            <w:shd w:val="clear" w:color="auto" w:fill="auto"/>
            <w:vAlign w:val="center"/>
          </w:tcPr>
          <w:p w14:paraId="6F3470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5811D8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2" w:type="dxa"/>
            <w:tcBorders>
              <w:top w:val="single" w:color="000000" w:sz="4" w:space="0"/>
              <w:left w:val="single" w:color="000000" w:sz="4" w:space="0"/>
              <w:bottom w:val="nil"/>
              <w:right w:val="single" w:color="000000" w:sz="4" w:space="0"/>
            </w:tcBorders>
            <w:shd w:val="clear" w:color="auto" w:fill="auto"/>
            <w:vAlign w:val="center"/>
          </w:tcPr>
          <w:p w14:paraId="14797B17">
            <w:pPr>
              <w:jc w:val="center"/>
              <w:rPr>
                <w:rFonts w:hint="eastAsia" w:ascii="宋体" w:hAnsi="宋体" w:eastAsia="宋体" w:cs="宋体"/>
                <w:i w:val="0"/>
                <w:iCs w:val="0"/>
                <w:color w:val="000000"/>
                <w:sz w:val="18"/>
                <w:szCs w:val="18"/>
                <w:u w:val="none"/>
              </w:rPr>
            </w:pPr>
          </w:p>
        </w:tc>
      </w:tr>
      <w:tr w14:paraId="5CE69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950" w:type="dxa"/>
            <w:vMerge w:val="continue"/>
            <w:tcBorders>
              <w:top w:val="single" w:color="000000" w:sz="4" w:space="0"/>
              <w:left w:val="single" w:color="000000" w:sz="4" w:space="0"/>
              <w:bottom w:val="nil"/>
              <w:right w:val="single" w:color="000000" w:sz="4" w:space="0"/>
            </w:tcBorders>
            <w:shd w:val="clear" w:color="auto" w:fill="auto"/>
            <w:vAlign w:val="center"/>
          </w:tcPr>
          <w:p w14:paraId="31AB6C81">
            <w:pPr>
              <w:jc w:val="center"/>
              <w:rPr>
                <w:rFonts w:hint="eastAsia" w:ascii="宋体" w:hAnsi="宋体" w:eastAsia="宋体" w:cs="宋体"/>
                <w:i w:val="0"/>
                <w:iCs w:val="0"/>
                <w:color w:val="000000"/>
                <w:sz w:val="18"/>
                <w:szCs w:val="18"/>
                <w:u w:val="none"/>
              </w:rPr>
            </w:pPr>
          </w:p>
        </w:tc>
        <w:tc>
          <w:tcPr>
            <w:tcW w:w="316" w:type="dxa"/>
            <w:vMerge w:val="continue"/>
            <w:tcBorders>
              <w:top w:val="single" w:color="000000" w:sz="4" w:space="0"/>
              <w:left w:val="single" w:color="000000" w:sz="4" w:space="0"/>
              <w:bottom w:val="nil"/>
              <w:right w:val="single" w:color="000000" w:sz="4" w:space="0"/>
            </w:tcBorders>
            <w:shd w:val="clear" w:color="auto" w:fill="auto"/>
            <w:vAlign w:val="center"/>
          </w:tcPr>
          <w:p w14:paraId="3A51B19D">
            <w:pPr>
              <w:jc w:val="center"/>
              <w:rPr>
                <w:rFonts w:hint="eastAsia" w:ascii="宋体" w:hAnsi="宋体" w:eastAsia="宋体" w:cs="宋体"/>
                <w:i w:val="0"/>
                <w:iCs w:val="0"/>
                <w:color w:val="000000"/>
                <w:sz w:val="18"/>
                <w:szCs w:val="18"/>
                <w:u w:val="none"/>
              </w:rPr>
            </w:pPr>
          </w:p>
        </w:tc>
        <w:tc>
          <w:tcPr>
            <w:tcW w:w="950" w:type="dxa"/>
            <w:vMerge w:val="restart"/>
            <w:tcBorders>
              <w:top w:val="single" w:color="000000" w:sz="4" w:space="0"/>
              <w:left w:val="single" w:color="000000" w:sz="4" w:space="0"/>
              <w:bottom w:val="nil"/>
              <w:right w:val="single" w:color="000000" w:sz="4" w:space="0"/>
            </w:tcBorders>
            <w:shd w:val="clear" w:color="auto" w:fill="auto"/>
            <w:vAlign w:val="center"/>
          </w:tcPr>
          <w:p w14:paraId="282851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729590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全年审计业务补助经费总成本</w:t>
            </w:r>
          </w:p>
        </w:tc>
        <w:tc>
          <w:tcPr>
            <w:tcW w:w="850" w:type="dxa"/>
            <w:tcBorders>
              <w:top w:val="single" w:color="000000" w:sz="4" w:space="0"/>
              <w:left w:val="single" w:color="000000" w:sz="4" w:space="0"/>
              <w:bottom w:val="nil"/>
              <w:right w:val="single" w:color="000000" w:sz="4" w:space="0"/>
            </w:tcBorders>
            <w:shd w:val="clear" w:color="auto" w:fill="auto"/>
            <w:vAlign w:val="center"/>
          </w:tcPr>
          <w:p w14:paraId="5FFB23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50" w:type="dxa"/>
            <w:tcBorders>
              <w:top w:val="single" w:color="000000" w:sz="4" w:space="0"/>
              <w:left w:val="single" w:color="000000" w:sz="4" w:space="0"/>
              <w:bottom w:val="nil"/>
              <w:right w:val="single" w:color="000000" w:sz="4" w:space="0"/>
            </w:tcBorders>
            <w:shd w:val="clear" w:color="auto" w:fill="auto"/>
            <w:vAlign w:val="center"/>
          </w:tcPr>
          <w:p w14:paraId="22B820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1AC71C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50000</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1EB91B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15" w:type="dxa"/>
            <w:tcBorders>
              <w:top w:val="single" w:color="000000" w:sz="4" w:space="0"/>
              <w:left w:val="single" w:color="000000" w:sz="4" w:space="0"/>
              <w:bottom w:val="nil"/>
              <w:right w:val="single" w:color="000000" w:sz="4" w:space="0"/>
            </w:tcBorders>
            <w:shd w:val="clear" w:color="auto" w:fill="auto"/>
            <w:vAlign w:val="center"/>
          </w:tcPr>
          <w:p w14:paraId="2C6407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138256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5D0A1C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2" w:type="dxa"/>
            <w:tcBorders>
              <w:top w:val="single" w:color="000000" w:sz="4" w:space="0"/>
              <w:left w:val="single" w:color="000000" w:sz="4" w:space="0"/>
              <w:bottom w:val="nil"/>
              <w:right w:val="single" w:color="000000" w:sz="4" w:space="0"/>
            </w:tcBorders>
            <w:shd w:val="clear" w:color="auto" w:fill="auto"/>
            <w:vAlign w:val="center"/>
          </w:tcPr>
          <w:p w14:paraId="61A69BDF">
            <w:pPr>
              <w:jc w:val="center"/>
              <w:rPr>
                <w:rFonts w:hint="eastAsia" w:ascii="宋体" w:hAnsi="宋体" w:eastAsia="宋体" w:cs="宋体"/>
                <w:i w:val="0"/>
                <w:iCs w:val="0"/>
                <w:color w:val="000000"/>
                <w:sz w:val="18"/>
                <w:szCs w:val="18"/>
                <w:u w:val="none"/>
              </w:rPr>
            </w:pPr>
          </w:p>
        </w:tc>
      </w:tr>
      <w:tr w14:paraId="20DA8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0" w:hRule="atLeast"/>
        </w:trPr>
        <w:tc>
          <w:tcPr>
            <w:tcW w:w="950" w:type="dxa"/>
            <w:vMerge w:val="continue"/>
            <w:tcBorders>
              <w:top w:val="single" w:color="000000" w:sz="4" w:space="0"/>
              <w:left w:val="single" w:color="000000" w:sz="4" w:space="0"/>
              <w:bottom w:val="nil"/>
              <w:right w:val="single" w:color="000000" w:sz="4" w:space="0"/>
            </w:tcBorders>
            <w:shd w:val="clear" w:color="auto" w:fill="auto"/>
            <w:vAlign w:val="center"/>
          </w:tcPr>
          <w:p w14:paraId="1B36EDF6">
            <w:pPr>
              <w:jc w:val="center"/>
              <w:rPr>
                <w:rFonts w:hint="eastAsia" w:ascii="宋体" w:hAnsi="宋体" w:eastAsia="宋体" w:cs="宋体"/>
                <w:i w:val="0"/>
                <w:iCs w:val="0"/>
                <w:color w:val="000000"/>
                <w:sz w:val="18"/>
                <w:szCs w:val="18"/>
                <w:u w:val="none"/>
              </w:rPr>
            </w:pPr>
          </w:p>
        </w:tc>
        <w:tc>
          <w:tcPr>
            <w:tcW w:w="316" w:type="dxa"/>
            <w:vMerge w:val="continue"/>
            <w:tcBorders>
              <w:top w:val="single" w:color="000000" w:sz="4" w:space="0"/>
              <w:left w:val="single" w:color="000000" w:sz="4" w:space="0"/>
              <w:bottom w:val="nil"/>
              <w:right w:val="single" w:color="000000" w:sz="4" w:space="0"/>
            </w:tcBorders>
            <w:shd w:val="clear" w:color="auto" w:fill="auto"/>
            <w:vAlign w:val="center"/>
          </w:tcPr>
          <w:p w14:paraId="5C00809E">
            <w:pPr>
              <w:jc w:val="center"/>
              <w:rPr>
                <w:rFonts w:hint="eastAsia" w:ascii="宋体" w:hAnsi="宋体" w:eastAsia="宋体" w:cs="宋体"/>
                <w:i w:val="0"/>
                <w:iCs w:val="0"/>
                <w:color w:val="000000"/>
                <w:sz w:val="18"/>
                <w:szCs w:val="18"/>
                <w:u w:val="none"/>
              </w:rPr>
            </w:pPr>
          </w:p>
        </w:tc>
        <w:tc>
          <w:tcPr>
            <w:tcW w:w="950" w:type="dxa"/>
            <w:vMerge w:val="continue"/>
            <w:tcBorders>
              <w:top w:val="single" w:color="000000" w:sz="4" w:space="0"/>
              <w:left w:val="single" w:color="000000" w:sz="4" w:space="0"/>
              <w:bottom w:val="nil"/>
              <w:right w:val="single" w:color="000000" w:sz="4" w:space="0"/>
            </w:tcBorders>
            <w:shd w:val="clear" w:color="auto" w:fill="auto"/>
            <w:vAlign w:val="center"/>
          </w:tcPr>
          <w:p w14:paraId="5E04CBA5">
            <w:pPr>
              <w:jc w:val="center"/>
              <w:rPr>
                <w:rFonts w:hint="eastAsia" w:ascii="宋体" w:hAnsi="宋体" w:eastAsia="宋体" w:cs="宋体"/>
                <w:i w:val="0"/>
                <w:iCs w:val="0"/>
                <w:color w:val="000000"/>
                <w:sz w:val="18"/>
                <w:szCs w:val="18"/>
                <w:u w:val="none"/>
              </w:rPr>
            </w:pP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30A3F6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人均补助金额成本</w:t>
            </w:r>
          </w:p>
        </w:tc>
        <w:tc>
          <w:tcPr>
            <w:tcW w:w="850" w:type="dxa"/>
            <w:tcBorders>
              <w:top w:val="single" w:color="000000" w:sz="4" w:space="0"/>
              <w:left w:val="single" w:color="000000" w:sz="4" w:space="0"/>
              <w:bottom w:val="nil"/>
              <w:right w:val="single" w:color="000000" w:sz="4" w:space="0"/>
            </w:tcBorders>
            <w:shd w:val="clear" w:color="auto" w:fill="auto"/>
            <w:vAlign w:val="center"/>
          </w:tcPr>
          <w:p w14:paraId="101707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50" w:type="dxa"/>
            <w:tcBorders>
              <w:top w:val="single" w:color="000000" w:sz="4" w:space="0"/>
              <w:left w:val="single" w:color="000000" w:sz="4" w:space="0"/>
              <w:bottom w:val="nil"/>
              <w:right w:val="single" w:color="000000" w:sz="4" w:space="0"/>
            </w:tcBorders>
            <w:shd w:val="clear" w:color="auto" w:fill="auto"/>
            <w:vAlign w:val="center"/>
          </w:tcPr>
          <w:p w14:paraId="7535A0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278D46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5000</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6A5CB0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15" w:type="dxa"/>
            <w:tcBorders>
              <w:top w:val="single" w:color="000000" w:sz="4" w:space="0"/>
              <w:left w:val="single" w:color="000000" w:sz="4" w:space="0"/>
              <w:bottom w:val="nil"/>
              <w:right w:val="single" w:color="000000" w:sz="4" w:space="0"/>
            </w:tcBorders>
            <w:shd w:val="clear" w:color="auto" w:fill="auto"/>
            <w:vAlign w:val="center"/>
          </w:tcPr>
          <w:p w14:paraId="03226C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4F347C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071120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2" w:type="dxa"/>
            <w:tcBorders>
              <w:top w:val="single" w:color="000000" w:sz="4" w:space="0"/>
              <w:left w:val="single" w:color="000000" w:sz="4" w:space="0"/>
              <w:bottom w:val="nil"/>
              <w:right w:val="single" w:color="000000" w:sz="4" w:space="0"/>
            </w:tcBorders>
            <w:shd w:val="clear" w:color="auto" w:fill="auto"/>
            <w:vAlign w:val="center"/>
          </w:tcPr>
          <w:p w14:paraId="1C2B47E9">
            <w:pPr>
              <w:jc w:val="center"/>
              <w:rPr>
                <w:rFonts w:hint="eastAsia" w:ascii="宋体" w:hAnsi="宋体" w:eastAsia="宋体" w:cs="宋体"/>
                <w:i w:val="0"/>
                <w:iCs w:val="0"/>
                <w:color w:val="000000"/>
                <w:sz w:val="18"/>
                <w:szCs w:val="18"/>
                <w:u w:val="none"/>
              </w:rPr>
            </w:pPr>
          </w:p>
        </w:tc>
      </w:tr>
      <w:tr w14:paraId="54EAC9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950" w:type="dxa"/>
            <w:vMerge w:val="continue"/>
            <w:tcBorders>
              <w:top w:val="single" w:color="000000" w:sz="4" w:space="0"/>
              <w:left w:val="single" w:color="000000" w:sz="4" w:space="0"/>
              <w:bottom w:val="nil"/>
              <w:right w:val="single" w:color="000000" w:sz="4" w:space="0"/>
            </w:tcBorders>
            <w:shd w:val="clear" w:color="auto" w:fill="auto"/>
            <w:vAlign w:val="center"/>
          </w:tcPr>
          <w:p w14:paraId="4C81F30C">
            <w:pPr>
              <w:jc w:val="center"/>
              <w:rPr>
                <w:rFonts w:hint="eastAsia" w:ascii="宋体" w:hAnsi="宋体" w:eastAsia="宋体" w:cs="宋体"/>
                <w:i w:val="0"/>
                <w:iCs w:val="0"/>
                <w:color w:val="000000"/>
                <w:sz w:val="18"/>
                <w:szCs w:val="18"/>
                <w:u w:val="none"/>
              </w:rPr>
            </w:pPr>
          </w:p>
        </w:tc>
        <w:tc>
          <w:tcPr>
            <w:tcW w:w="316" w:type="dxa"/>
            <w:vMerge w:val="restart"/>
            <w:tcBorders>
              <w:top w:val="single" w:color="000000" w:sz="4" w:space="0"/>
              <w:left w:val="single" w:color="000000" w:sz="4" w:space="0"/>
              <w:bottom w:val="nil"/>
              <w:right w:val="single" w:color="000000" w:sz="4" w:space="0"/>
            </w:tcBorders>
            <w:shd w:val="clear" w:color="auto" w:fill="auto"/>
            <w:vAlign w:val="center"/>
          </w:tcPr>
          <w:p w14:paraId="66286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950" w:type="dxa"/>
            <w:tcBorders>
              <w:top w:val="single" w:color="000000" w:sz="4" w:space="0"/>
              <w:left w:val="single" w:color="000000" w:sz="4" w:space="0"/>
              <w:bottom w:val="nil"/>
              <w:right w:val="single" w:color="000000" w:sz="4" w:space="0"/>
            </w:tcBorders>
            <w:shd w:val="clear" w:color="auto" w:fill="auto"/>
            <w:vAlign w:val="center"/>
          </w:tcPr>
          <w:p w14:paraId="5B1D8BF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0BE39E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提高被审计单位的管理水平</w:t>
            </w:r>
          </w:p>
        </w:tc>
        <w:tc>
          <w:tcPr>
            <w:tcW w:w="850" w:type="dxa"/>
            <w:tcBorders>
              <w:top w:val="single" w:color="000000" w:sz="4" w:space="0"/>
              <w:left w:val="single" w:color="000000" w:sz="4" w:space="0"/>
              <w:bottom w:val="nil"/>
              <w:right w:val="single" w:color="000000" w:sz="4" w:space="0"/>
            </w:tcBorders>
            <w:shd w:val="clear" w:color="auto" w:fill="auto"/>
            <w:vAlign w:val="center"/>
          </w:tcPr>
          <w:p w14:paraId="0030D6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50" w:type="dxa"/>
            <w:tcBorders>
              <w:top w:val="single" w:color="000000" w:sz="4" w:space="0"/>
              <w:left w:val="single" w:color="000000" w:sz="4" w:space="0"/>
              <w:bottom w:val="nil"/>
              <w:right w:val="single" w:color="000000" w:sz="4" w:space="0"/>
            </w:tcBorders>
            <w:shd w:val="clear" w:color="auto" w:fill="auto"/>
            <w:vAlign w:val="center"/>
          </w:tcPr>
          <w:p w14:paraId="1A495396">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nil"/>
              <w:right w:val="single" w:color="000000" w:sz="4" w:space="0"/>
            </w:tcBorders>
            <w:shd w:val="clear" w:color="auto" w:fill="auto"/>
            <w:vAlign w:val="center"/>
          </w:tcPr>
          <w:p w14:paraId="38A0B0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有效提高</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6293DF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15" w:type="dxa"/>
            <w:tcBorders>
              <w:top w:val="single" w:color="000000" w:sz="4" w:space="0"/>
              <w:left w:val="single" w:color="000000" w:sz="4" w:space="0"/>
              <w:bottom w:val="nil"/>
              <w:right w:val="single" w:color="000000" w:sz="4" w:space="0"/>
            </w:tcBorders>
            <w:shd w:val="clear" w:color="auto" w:fill="auto"/>
            <w:vAlign w:val="center"/>
          </w:tcPr>
          <w:p w14:paraId="6EB9E9F5">
            <w:pPr>
              <w:jc w:val="center"/>
              <w:rPr>
                <w:rFonts w:hint="eastAsia" w:ascii="宋体" w:hAnsi="宋体" w:eastAsia="宋体" w:cs="宋体"/>
                <w:i w:val="0"/>
                <w:iCs w:val="0"/>
                <w:color w:val="000000"/>
                <w:sz w:val="18"/>
                <w:szCs w:val="18"/>
                <w:u w:val="none"/>
              </w:rPr>
            </w:pPr>
          </w:p>
        </w:tc>
        <w:tc>
          <w:tcPr>
            <w:tcW w:w="483" w:type="dxa"/>
            <w:tcBorders>
              <w:top w:val="single" w:color="000000" w:sz="4" w:space="0"/>
              <w:left w:val="single" w:color="000000" w:sz="4" w:space="0"/>
              <w:bottom w:val="nil"/>
              <w:right w:val="single" w:color="000000" w:sz="4" w:space="0"/>
            </w:tcBorders>
            <w:shd w:val="clear" w:color="auto" w:fill="auto"/>
            <w:vAlign w:val="center"/>
          </w:tcPr>
          <w:p w14:paraId="04039C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034407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2" w:type="dxa"/>
            <w:tcBorders>
              <w:top w:val="single" w:color="000000" w:sz="4" w:space="0"/>
              <w:left w:val="single" w:color="000000" w:sz="4" w:space="0"/>
              <w:bottom w:val="nil"/>
              <w:right w:val="single" w:color="000000" w:sz="4" w:space="0"/>
            </w:tcBorders>
            <w:shd w:val="clear" w:color="auto" w:fill="auto"/>
            <w:vAlign w:val="center"/>
          </w:tcPr>
          <w:p w14:paraId="65708A04">
            <w:pPr>
              <w:jc w:val="center"/>
              <w:rPr>
                <w:rFonts w:hint="eastAsia" w:ascii="宋体" w:hAnsi="宋体" w:eastAsia="宋体" w:cs="宋体"/>
                <w:i w:val="0"/>
                <w:iCs w:val="0"/>
                <w:color w:val="000000"/>
                <w:sz w:val="18"/>
                <w:szCs w:val="18"/>
                <w:u w:val="none"/>
              </w:rPr>
            </w:pPr>
          </w:p>
        </w:tc>
      </w:tr>
      <w:tr w14:paraId="4EFB01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0" w:hRule="atLeast"/>
        </w:trPr>
        <w:tc>
          <w:tcPr>
            <w:tcW w:w="950" w:type="dxa"/>
            <w:vMerge w:val="continue"/>
            <w:tcBorders>
              <w:top w:val="single" w:color="000000" w:sz="4" w:space="0"/>
              <w:left w:val="single" w:color="000000" w:sz="4" w:space="0"/>
              <w:bottom w:val="nil"/>
              <w:right w:val="single" w:color="000000" w:sz="4" w:space="0"/>
            </w:tcBorders>
            <w:shd w:val="clear" w:color="auto" w:fill="auto"/>
            <w:vAlign w:val="center"/>
          </w:tcPr>
          <w:p w14:paraId="4C5E3834">
            <w:pPr>
              <w:jc w:val="center"/>
              <w:rPr>
                <w:rFonts w:hint="eastAsia" w:ascii="宋体" w:hAnsi="宋体" w:eastAsia="宋体" w:cs="宋体"/>
                <w:i w:val="0"/>
                <w:iCs w:val="0"/>
                <w:color w:val="000000"/>
                <w:sz w:val="18"/>
                <w:szCs w:val="18"/>
                <w:u w:val="none"/>
              </w:rPr>
            </w:pPr>
          </w:p>
        </w:tc>
        <w:tc>
          <w:tcPr>
            <w:tcW w:w="316" w:type="dxa"/>
            <w:vMerge w:val="continue"/>
            <w:tcBorders>
              <w:top w:val="single" w:color="000000" w:sz="4" w:space="0"/>
              <w:left w:val="single" w:color="000000" w:sz="4" w:space="0"/>
              <w:bottom w:val="nil"/>
              <w:right w:val="single" w:color="000000" w:sz="4" w:space="0"/>
            </w:tcBorders>
            <w:shd w:val="clear" w:color="auto" w:fill="auto"/>
            <w:vAlign w:val="center"/>
          </w:tcPr>
          <w:p w14:paraId="573C8526">
            <w:pPr>
              <w:jc w:val="center"/>
              <w:rPr>
                <w:rFonts w:hint="eastAsia" w:ascii="宋体" w:hAnsi="宋体" w:eastAsia="宋体" w:cs="宋体"/>
                <w:i w:val="0"/>
                <w:iCs w:val="0"/>
                <w:color w:val="000000"/>
                <w:sz w:val="18"/>
                <w:szCs w:val="18"/>
                <w:u w:val="none"/>
              </w:rPr>
            </w:pPr>
          </w:p>
        </w:tc>
        <w:tc>
          <w:tcPr>
            <w:tcW w:w="950" w:type="dxa"/>
            <w:tcBorders>
              <w:top w:val="single" w:color="000000" w:sz="4" w:space="0"/>
              <w:left w:val="single" w:color="000000" w:sz="4" w:space="0"/>
              <w:bottom w:val="nil"/>
              <w:right w:val="single" w:color="000000" w:sz="4" w:space="0"/>
            </w:tcBorders>
            <w:shd w:val="clear" w:color="auto" w:fill="auto"/>
            <w:vAlign w:val="center"/>
          </w:tcPr>
          <w:p w14:paraId="79A20B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775278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提高被审计单位业务的合法合规性</w:t>
            </w:r>
          </w:p>
        </w:tc>
        <w:tc>
          <w:tcPr>
            <w:tcW w:w="850" w:type="dxa"/>
            <w:tcBorders>
              <w:top w:val="single" w:color="000000" w:sz="4" w:space="0"/>
              <w:left w:val="single" w:color="000000" w:sz="4" w:space="0"/>
              <w:bottom w:val="nil"/>
              <w:right w:val="single" w:color="000000" w:sz="4" w:space="0"/>
            </w:tcBorders>
            <w:shd w:val="clear" w:color="auto" w:fill="auto"/>
            <w:vAlign w:val="center"/>
          </w:tcPr>
          <w:p w14:paraId="7FA52B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50" w:type="dxa"/>
            <w:tcBorders>
              <w:top w:val="single" w:color="000000" w:sz="4" w:space="0"/>
              <w:left w:val="single" w:color="000000" w:sz="4" w:space="0"/>
              <w:bottom w:val="nil"/>
              <w:right w:val="single" w:color="000000" w:sz="4" w:space="0"/>
            </w:tcBorders>
            <w:shd w:val="clear" w:color="auto" w:fill="auto"/>
            <w:vAlign w:val="center"/>
          </w:tcPr>
          <w:p w14:paraId="32FEA5DF">
            <w:pPr>
              <w:jc w:val="center"/>
              <w:rPr>
                <w:rFonts w:hint="eastAsia" w:ascii="宋体" w:hAnsi="宋体" w:eastAsia="宋体" w:cs="宋体"/>
                <w:i w:val="0"/>
                <w:iCs w:val="0"/>
                <w:color w:val="000000"/>
                <w:sz w:val="18"/>
                <w:szCs w:val="18"/>
                <w:u w:val="none"/>
              </w:rPr>
            </w:pPr>
          </w:p>
        </w:tc>
        <w:tc>
          <w:tcPr>
            <w:tcW w:w="866" w:type="dxa"/>
            <w:tcBorders>
              <w:top w:val="single" w:color="000000" w:sz="4" w:space="0"/>
              <w:left w:val="single" w:color="000000" w:sz="4" w:space="0"/>
              <w:bottom w:val="nil"/>
              <w:right w:val="single" w:color="000000" w:sz="4" w:space="0"/>
            </w:tcBorders>
            <w:shd w:val="clear" w:color="auto" w:fill="auto"/>
            <w:vAlign w:val="center"/>
          </w:tcPr>
          <w:p w14:paraId="234FAF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显著提高</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7C449B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15" w:type="dxa"/>
            <w:tcBorders>
              <w:top w:val="single" w:color="000000" w:sz="4" w:space="0"/>
              <w:left w:val="single" w:color="000000" w:sz="4" w:space="0"/>
              <w:bottom w:val="nil"/>
              <w:right w:val="single" w:color="000000" w:sz="4" w:space="0"/>
            </w:tcBorders>
            <w:shd w:val="clear" w:color="auto" w:fill="auto"/>
            <w:vAlign w:val="center"/>
          </w:tcPr>
          <w:p w14:paraId="61368036">
            <w:pPr>
              <w:jc w:val="center"/>
              <w:rPr>
                <w:rFonts w:hint="eastAsia" w:ascii="宋体" w:hAnsi="宋体" w:eastAsia="宋体" w:cs="宋体"/>
                <w:i w:val="0"/>
                <w:iCs w:val="0"/>
                <w:color w:val="000000"/>
                <w:sz w:val="18"/>
                <w:szCs w:val="18"/>
                <w:u w:val="none"/>
              </w:rPr>
            </w:pPr>
          </w:p>
        </w:tc>
        <w:tc>
          <w:tcPr>
            <w:tcW w:w="483" w:type="dxa"/>
            <w:tcBorders>
              <w:top w:val="single" w:color="000000" w:sz="4" w:space="0"/>
              <w:left w:val="single" w:color="000000" w:sz="4" w:space="0"/>
              <w:bottom w:val="nil"/>
              <w:right w:val="single" w:color="000000" w:sz="4" w:space="0"/>
            </w:tcBorders>
            <w:shd w:val="clear" w:color="auto" w:fill="auto"/>
            <w:vAlign w:val="center"/>
          </w:tcPr>
          <w:p w14:paraId="262E86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13DC62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2" w:type="dxa"/>
            <w:tcBorders>
              <w:top w:val="single" w:color="000000" w:sz="4" w:space="0"/>
              <w:left w:val="single" w:color="000000" w:sz="4" w:space="0"/>
              <w:bottom w:val="nil"/>
              <w:right w:val="single" w:color="000000" w:sz="4" w:space="0"/>
            </w:tcBorders>
            <w:shd w:val="clear" w:color="auto" w:fill="auto"/>
            <w:vAlign w:val="center"/>
          </w:tcPr>
          <w:p w14:paraId="3A2880AB">
            <w:pPr>
              <w:jc w:val="center"/>
              <w:rPr>
                <w:rFonts w:hint="eastAsia" w:ascii="宋体" w:hAnsi="宋体" w:eastAsia="宋体" w:cs="宋体"/>
                <w:i w:val="0"/>
                <w:iCs w:val="0"/>
                <w:color w:val="000000"/>
                <w:sz w:val="18"/>
                <w:szCs w:val="18"/>
                <w:u w:val="none"/>
              </w:rPr>
            </w:pPr>
          </w:p>
        </w:tc>
      </w:tr>
      <w:tr w14:paraId="33F85C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950" w:type="dxa"/>
            <w:vMerge w:val="continue"/>
            <w:tcBorders>
              <w:top w:val="single" w:color="000000" w:sz="4" w:space="0"/>
              <w:left w:val="single" w:color="000000" w:sz="4" w:space="0"/>
              <w:bottom w:val="nil"/>
              <w:right w:val="single" w:color="000000" w:sz="4" w:space="0"/>
            </w:tcBorders>
            <w:shd w:val="clear" w:color="auto" w:fill="auto"/>
            <w:vAlign w:val="center"/>
          </w:tcPr>
          <w:p w14:paraId="66B7F397">
            <w:pPr>
              <w:jc w:val="center"/>
              <w:rPr>
                <w:rFonts w:hint="eastAsia" w:ascii="宋体" w:hAnsi="宋体" w:eastAsia="宋体" w:cs="宋体"/>
                <w:i w:val="0"/>
                <w:iCs w:val="0"/>
                <w:color w:val="000000"/>
                <w:sz w:val="18"/>
                <w:szCs w:val="18"/>
                <w:u w:val="none"/>
              </w:rPr>
            </w:pPr>
          </w:p>
        </w:tc>
        <w:tc>
          <w:tcPr>
            <w:tcW w:w="316" w:type="dxa"/>
            <w:tcBorders>
              <w:top w:val="single" w:color="000000" w:sz="4" w:space="0"/>
              <w:left w:val="single" w:color="000000" w:sz="4" w:space="0"/>
              <w:bottom w:val="nil"/>
              <w:right w:val="single" w:color="000000" w:sz="4" w:space="0"/>
            </w:tcBorders>
            <w:shd w:val="clear" w:color="auto" w:fill="auto"/>
            <w:vAlign w:val="center"/>
          </w:tcPr>
          <w:p w14:paraId="1BE3DA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950" w:type="dxa"/>
            <w:tcBorders>
              <w:top w:val="single" w:color="000000" w:sz="4" w:space="0"/>
              <w:left w:val="single" w:color="000000" w:sz="4" w:space="0"/>
              <w:bottom w:val="nil"/>
              <w:right w:val="single" w:color="000000" w:sz="4" w:space="0"/>
            </w:tcBorders>
            <w:shd w:val="clear" w:color="auto" w:fill="auto"/>
            <w:vAlign w:val="center"/>
          </w:tcPr>
          <w:p w14:paraId="383B78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1216" w:type="dxa"/>
            <w:tcBorders>
              <w:top w:val="single" w:color="000000" w:sz="4" w:space="0"/>
              <w:left w:val="single" w:color="000000" w:sz="4" w:space="0"/>
              <w:bottom w:val="nil"/>
              <w:right w:val="single" w:color="000000" w:sz="4" w:space="0"/>
            </w:tcBorders>
            <w:shd w:val="clear" w:color="auto" w:fill="auto"/>
            <w:vAlign w:val="center"/>
          </w:tcPr>
          <w:p w14:paraId="065065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审计人员对业务补助金额满意度</w:t>
            </w:r>
          </w:p>
        </w:tc>
        <w:tc>
          <w:tcPr>
            <w:tcW w:w="850" w:type="dxa"/>
            <w:tcBorders>
              <w:top w:val="single" w:color="000000" w:sz="4" w:space="0"/>
              <w:left w:val="single" w:color="000000" w:sz="4" w:space="0"/>
              <w:bottom w:val="nil"/>
              <w:right w:val="single" w:color="000000" w:sz="4" w:space="0"/>
            </w:tcBorders>
            <w:shd w:val="clear" w:color="auto" w:fill="auto"/>
            <w:vAlign w:val="center"/>
          </w:tcPr>
          <w:p w14:paraId="55ED7C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50" w:type="dxa"/>
            <w:tcBorders>
              <w:top w:val="single" w:color="000000" w:sz="4" w:space="0"/>
              <w:left w:val="single" w:color="000000" w:sz="4" w:space="0"/>
              <w:bottom w:val="nil"/>
              <w:right w:val="single" w:color="000000" w:sz="4" w:space="0"/>
            </w:tcBorders>
            <w:shd w:val="clear" w:color="auto" w:fill="auto"/>
            <w:vAlign w:val="center"/>
          </w:tcPr>
          <w:p w14:paraId="0B7D74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866" w:type="dxa"/>
            <w:tcBorders>
              <w:top w:val="single" w:color="000000" w:sz="4" w:space="0"/>
              <w:left w:val="single" w:color="000000" w:sz="4" w:space="0"/>
              <w:bottom w:val="nil"/>
              <w:right w:val="single" w:color="000000" w:sz="4" w:space="0"/>
            </w:tcBorders>
            <w:shd w:val="clear" w:color="auto" w:fill="auto"/>
            <w:vAlign w:val="center"/>
          </w:tcPr>
          <w:p w14:paraId="15FE42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96</w:t>
            </w:r>
          </w:p>
        </w:tc>
        <w:tc>
          <w:tcPr>
            <w:tcW w:w="733" w:type="dxa"/>
            <w:tcBorders>
              <w:top w:val="single" w:color="000000" w:sz="4" w:space="0"/>
              <w:left w:val="single" w:color="000000" w:sz="4" w:space="0"/>
              <w:bottom w:val="nil"/>
              <w:right w:val="single" w:color="000000" w:sz="4" w:space="0"/>
            </w:tcBorders>
            <w:shd w:val="clear" w:color="auto" w:fill="auto"/>
            <w:vAlign w:val="center"/>
          </w:tcPr>
          <w:p w14:paraId="246F1E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15" w:type="dxa"/>
            <w:tcBorders>
              <w:top w:val="single" w:color="000000" w:sz="4" w:space="0"/>
              <w:left w:val="single" w:color="000000" w:sz="4" w:space="0"/>
              <w:bottom w:val="nil"/>
              <w:right w:val="single" w:color="000000" w:sz="4" w:space="0"/>
            </w:tcBorders>
            <w:shd w:val="clear" w:color="auto" w:fill="auto"/>
            <w:vAlign w:val="center"/>
          </w:tcPr>
          <w:p w14:paraId="117AB0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483" w:type="dxa"/>
            <w:tcBorders>
              <w:top w:val="single" w:color="000000" w:sz="4" w:space="0"/>
              <w:left w:val="single" w:color="000000" w:sz="4" w:space="0"/>
              <w:bottom w:val="nil"/>
              <w:right w:val="single" w:color="000000" w:sz="4" w:space="0"/>
            </w:tcBorders>
            <w:shd w:val="clear" w:color="auto" w:fill="auto"/>
            <w:vAlign w:val="center"/>
          </w:tcPr>
          <w:p w14:paraId="71A634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66" w:type="dxa"/>
            <w:tcBorders>
              <w:top w:val="single" w:color="000000" w:sz="4" w:space="0"/>
              <w:left w:val="single" w:color="000000" w:sz="4" w:space="0"/>
              <w:bottom w:val="nil"/>
              <w:right w:val="single" w:color="000000" w:sz="4" w:space="0"/>
            </w:tcBorders>
            <w:shd w:val="clear" w:color="auto" w:fill="auto"/>
            <w:vAlign w:val="center"/>
          </w:tcPr>
          <w:p w14:paraId="61DD5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2" w:type="dxa"/>
            <w:tcBorders>
              <w:top w:val="single" w:color="000000" w:sz="4" w:space="0"/>
              <w:left w:val="single" w:color="000000" w:sz="4" w:space="0"/>
              <w:bottom w:val="nil"/>
              <w:right w:val="single" w:color="000000" w:sz="4" w:space="0"/>
            </w:tcBorders>
            <w:shd w:val="clear" w:color="auto" w:fill="auto"/>
            <w:vAlign w:val="center"/>
          </w:tcPr>
          <w:p w14:paraId="56319F74">
            <w:pPr>
              <w:jc w:val="center"/>
              <w:rPr>
                <w:rFonts w:hint="eastAsia" w:ascii="宋体" w:hAnsi="宋体" w:eastAsia="宋体" w:cs="宋体"/>
                <w:i w:val="0"/>
                <w:iCs w:val="0"/>
                <w:color w:val="000000"/>
                <w:sz w:val="18"/>
                <w:szCs w:val="18"/>
                <w:u w:val="none"/>
              </w:rPr>
            </w:pPr>
          </w:p>
        </w:tc>
      </w:tr>
      <w:tr w14:paraId="4BC75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714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9C684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4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4B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5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59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7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CAE9B">
            <w:pPr>
              <w:jc w:val="center"/>
              <w:rPr>
                <w:rFonts w:hint="eastAsia" w:ascii="宋体" w:hAnsi="宋体" w:eastAsia="宋体" w:cs="宋体"/>
                <w:i w:val="0"/>
                <w:iCs w:val="0"/>
                <w:color w:val="000000"/>
                <w:sz w:val="18"/>
                <w:szCs w:val="18"/>
                <w:u w:val="none"/>
              </w:rPr>
            </w:pPr>
          </w:p>
        </w:tc>
      </w:tr>
    </w:tbl>
    <w:p w14:paraId="259DFAA0">
      <w:pPr>
        <w:pStyle w:val="28"/>
        <w:widowControl/>
        <w:spacing w:before="240" w:after="240" w:line="560" w:lineRule="atLeast"/>
        <w:jc w:val="left"/>
        <w:rPr>
          <w:rFonts w:ascii="FangSong_GB2312" w:hAnsi="FangSong_GB2312" w:eastAsia="FangSong_GB2312" w:cs="FangSong_GB2312"/>
          <w:kern w:val="0"/>
          <w:sz w:val="32"/>
          <w:szCs w:val="32"/>
        </w:rPr>
      </w:pPr>
    </w:p>
    <w:p w14:paraId="4DEC75A9">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（三）部门项目绩效评价结果。</w:t>
      </w:r>
    </w:p>
    <w:p w14:paraId="5043E233">
      <w:pPr>
        <w:pStyle w:val="28"/>
        <w:widowControl/>
        <w:spacing w:before="240" w:after="240" w:line="560" w:lineRule="atLeast"/>
        <w:ind w:firstLine="640"/>
        <w:jc w:val="left"/>
        <w:rPr>
          <w:rFonts w:ascii="FangSong_GB2312" w:hAnsi="FangSong_GB2312" w:eastAsia="FangSong_GB2312" w:cs="FangSong_GB2312"/>
          <w:kern w:val="0"/>
          <w:sz w:val="32"/>
          <w:szCs w:val="32"/>
        </w:rPr>
      </w:pPr>
      <w:r>
        <w:rPr>
          <w:rFonts w:ascii="FangSong_GB2312" w:hAnsi="FangSong_GB2312" w:eastAsia="FangSong_GB2312" w:cs="FangSong_GB2312"/>
          <w:kern w:val="0"/>
          <w:sz w:val="32"/>
          <w:szCs w:val="32"/>
        </w:rPr>
        <w:t>以</w:t>
      </w:r>
      <w:r>
        <w:rPr>
          <w:rFonts w:hint="eastAsia" w:ascii="FangSong_GB2312" w:hAnsi="FangSong_GB2312" w:eastAsia="FangSong_GB2312" w:cs="FangSong_GB2312"/>
          <w:kern w:val="0"/>
          <w:sz w:val="32"/>
          <w:szCs w:val="32"/>
          <w:lang w:val="en-US" w:eastAsia="zh-CN"/>
        </w:rPr>
        <w:t>审计业务补助经费</w:t>
      </w:r>
      <w:r>
        <w:rPr>
          <w:rFonts w:ascii="FangSong_GB2312" w:hAnsi="FangSong_GB2312" w:eastAsia="FangSong_GB2312" w:cs="FangSong_GB2312"/>
          <w:kern w:val="0"/>
          <w:sz w:val="32"/>
          <w:szCs w:val="32"/>
        </w:rPr>
        <w:t>项目为例，该项目绩效评价综合得分为</w:t>
      </w:r>
      <w:r>
        <w:rPr>
          <w:rFonts w:hint="eastAsia"/>
          <w:color w:val="auto"/>
          <w:kern w:val="0"/>
          <w:sz w:val="32"/>
          <w:szCs w:val="32"/>
          <w:u w:val="single" w:color="000AFF"/>
          <w:lang w:val="en-US" w:eastAsia="zh-CN"/>
        </w:rPr>
        <w:t>100</w:t>
      </w:r>
      <w:r>
        <w:rPr>
          <w:rFonts w:ascii="FangSong_GB2312" w:hAnsi="FangSong_GB2312" w:eastAsia="FangSong_GB2312" w:cs="FangSong_GB2312"/>
          <w:kern w:val="0"/>
          <w:sz w:val="32"/>
          <w:szCs w:val="32"/>
        </w:rPr>
        <w:t>分，绩效评价结果为“优”。部门项目绩效评价得分情况详见部门具体绩效评价结果。</w:t>
      </w:r>
    </w:p>
    <w:p w14:paraId="596F19A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2025年度审计业务补助经费</w:t>
      </w:r>
      <w:r>
        <w:rPr>
          <w:rFonts w:hint="default" w:ascii="仿宋" w:hAnsi="仿宋" w:eastAsia="仿宋" w:cs="仿宋"/>
          <w:b w:val="0"/>
          <w:bCs w:val="0"/>
          <w:kern w:val="2"/>
          <w:sz w:val="32"/>
          <w:szCs w:val="32"/>
          <w:lang w:val="en-US" w:eastAsia="zh-CN" w:bidi="ar-SA"/>
        </w:rPr>
        <w:t>项目绩效自评报告</w:t>
      </w:r>
    </w:p>
    <w:p w14:paraId="423B32A0">
      <w:pPr>
        <w:keepNext w:val="0"/>
        <w:keepLines w:val="0"/>
        <w:pageBreakBefore w:val="0"/>
        <w:widowControl w:val="0"/>
        <w:kinsoku/>
        <w:wordWrap/>
        <w:overflowPunct/>
        <w:topLinePunct w:val="0"/>
        <w:autoSpaceDE/>
        <w:autoSpaceDN/>
        <w:bidi w:val="0"/>
        <w:adjustRightInd/>
        <w:snapToGrid/>
        <w:spacing w:line="620" w:lineRule="exact"/>
        <w:ind w:firstLine="0" w:firstLineChars="0"/>
        <w:jc w:val="center"/>
        <w:textAlignment w:val="auto"/>
        <w:rPr>
          <w:rFonts w:hint="default" w:ascii="Times New Roman Regular" w:hAnsi="Times New Roman Regular" w:eastAsia="方正小标宋简体" w:cs="Times New Roman Regular"/>
          <w:sz w:val="44"/>
          <w:szCs w:val="44"/>
        </w:rPr>
      </w:pPr>
    </w:p>
    <w:p w14:paraId="2BA7D2FF">
      <w:pPr>
        <w:pStyle w:val="2"/>
        <w:bidi w:val="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一、项目基本情况</w:t>
      </w:r>
    </w:p>
    <w:p w14:paraId="300D95D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仿宋" w:hAnsi="仿宋" w:eastAsia="仿宋" w:cs="仿宋"/>
          <w:b w:val="0"/>
          <w:bCs w:val="0"/>
          <w:kern w:val="2"/>
          <w:sz w:val="32"/>
          <w:szCs w:val="32"/>
          <w:lang w:val="en-US" w:eastAsia="zh-CN" w:bidi="ar-SA"/>
        </w:rPr>
      </w:pPr>
      <w:r>
        <w:rPr>
          <w:rFonts w:hint="default" w:ascii="仿宋" w:hAnsi="仿宋" w:eastAsia="仿宋" w:cs="仿宋"/>
          <w:b w:val="0"/>
          <w:bCs w:val="0"/>
          <w:kern w:val="2"/>
          <w:sz w:val="32"/>
          <w:szCs w:val="32"/>
          <w:lang w:val="en-US" w:eastAsia="zh-CN" w:bidi="ar-SA"/>
        </w:rPr>
        <w:t>（一）项目基本情况简介。</w:t>
      </w:r>
    </w:p>
    <w:p w14:paraId="50737BD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本单位本年度审计业务补助经费。</w:t>
      </w:r>
    </w:p>
    <w:p w14:paraId="704EF1C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仿宋" w:hAnsi="仿宋" w:eastAsia="仿宋" w:cs="仿宋"/>
          <w:b w:val="0"/>
          <w:bCs w:val="0"/>
          <w:kern w:val="2"/>
          <w:sz w:val="32"/>
          <w:szCs w:val="32"/>
          <w:lang w:val="en-US" w:eastAsia="zh-CN" w:bidi="ar-SA"/>
        </w:rPr>
      </w:pPr>
      <w:r>
        <w:rPr>
          <w:rFonts w:hint="default" w:ascii="仿宋" w:hAnsi="仿宋" w:eastAsia="仿宋" w:cs="仿宋"/>
          <w:b w:val="0"/>
          <w:bCs w:val="0"/>
          <w:kern w:val="2"/>
          <w:sz w:val="32"/>
          <w:szCs w:val="32"/>
          <w:lang w:val="en-US" w:eastAsia="zh-CN" w:bidi="ar-SA"/>
        </w:rPr>
        <w:t>（二）绩效目标设定及指标完成情况。</w:t>
      </w:r>
    </w:p>
    <w:p w14:paraId="19B5618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年度绩效</w:t>
      </w:r>
      <w:r>
        <w:rPr>
          <w:rFonts w:hint="default" w:ascii="仿宋" w:hAnsi="仿宋" w:eastAsia="仿宋" w:cs="仿宋"/>
          <w:b w:val="0"/>
          <w:bCs w:val="0"/>
          <w:kern w:val="2"/>
          <w:sz w:val="32"/>
          <w:szCs w:val="32"/>
          <w:lang w:val="en-US" w:eastAsia="zh-CN" w:bidi="ar-SA"/>
        </w:rPr>
        <w:t>目标：</w:t>
      </w:r>
      <w:r>
        <w:rPr>
          <w:rFonts w:hint="eastAsia" w:ascii="仿宋" w:hAnsi="仿宋" w:eastAsia="仿宋" w:cs="仿宋"/>
          <w:b w:val="0"/>
          <w:bCs w:val="0"/>
          <w:kern w:val="2"/>
          <w:sz w:val="32"/>
          <w:szCs w:val="32"/>
          <w:lang w:val="en-US" w:eastAsia="zh-CN" w:bidi="ar-SA"/>
        </w:rPr>
        <w:t>完成2025年度上级部门部署的审计任务，计划对不少于10个单位进行业务审计，审计项目部少于20个.通过审计，对被审计单位的管理水平有所提高。</w:t>
      </w:r>
    </w:p>
    <w:p w14:paraId="2E78D5D7">
      <w:pPr>
        <w:pStyle w:val="2"/>
        <w:bidi w:val="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二、绩效自评工作情况</w:t>
      </w:r>
    </w:p>
    <w:p w14:paraId="650E742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仿宋" w:hAnsi="仿宋" w:eastAsia="仿宋" w:cs="仿宋"/>
          <w:b w:val="0"/>
          <w:bCs w:val="0"/>
          <w:kern w:val="2"/>
          <w:sz w:val="32"/>
          <w:szCs w:val="32"/>
          <w:lang w:val="en-US" w:eastAsia="zh-CN" w:bidi="ar-SA"/>
        </w:rPr>
      </w:pPr>
      <w:r>
        <w:rPr>
          <w:rFonts w:hint="default" w:ascii="仿宋" w:hAnsi="仿宋" w:eastAsia="仿宋" w:cs="仿宋"/>
          <w:b w:val="0"/>
          <w:bCs w:val="0"/>
          <w:kern w:val="2"/>
          <w:sz w:val="32"/>
          <w:szCs w:val="32"/>
          <w:lang w:val="en-US" w:eastAsia="zh-CN" w:bidi="ar-SA"/>
        </w:rPr>
        <w:t>（一）绩效自评目的。</w:t>
      </w:r>
    </w:p>
    <w:p w14:paraId="657290A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规范和加强财政支出管理，强化支出责任，建立科学规范的财政支出绩效评价管理体系，从产出、效益及满意度三个维度构建全面反映项目完成情况的评价指标，以绩效指标为导向，提高财政资金使用效益，及时发现自身存在的问题，提出解决方案，采取有力措施，确保项目顺利实施及时发挥效益，我单位对2025年审计专项经费项目进行绩效自评，对资金产出及其效益进行综合评价和判断。</w:t>
      </w:r>
    </w:p>
    <w:p w14:paraId="0FEC692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（二）项目资金投入情况。</w:t>
      </w:r>
    </w:p>
    <w:p w14:paraId="333AAC0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default" w:ascii="仿宋" w:hAnsi="仿宋" w:eastAsia="仿宋" w:cs="仿宋"/>
          <w:b w:val="0"/>
          <w:bCs w:val="0"/>
          <w:kern w:val="2"/>
          <w:sz w:val="32"/>
          <w:szCs w:val="32"/>
          <w:lang w:val="en-US" w:eastAsia="zh-CN" w:bidi="ar-SA"/>
        </w:rPr>
        <w:t>本</w:t>
      </w:r>
      <w:r>
        <w:rPr>
          <w:rFonts w:hint="eastAsia" w:ascii="仿宋" w:hAnsi="仿宋" w:eastAsia="仿宋" w:cs="仿宋"/>
          <w:b w:val="0"/>
          <w:bCs w:val="0"/>
          <w:kern w:val="2"/>
          <w:sz w:val="32"/>
          <w:szCs w:val="32"/>
          <w:lang w:val="en-US" w:eastAsia="zh-CN" w:bidi="ar-SA"/>
        </w:rPr>
        <w:t>项目资金</w:t>
      </w:r>
      <w:r>
        <w:rPr>
          <w:rFonts w:hint="default" w:ascii="仿宋" w:hAnsi="仿宋" w:eastAsia="仿宋" w:cs="仿宋"/>
          <w:b w:val="0"/>
          <w:bCs w:val="0"/>
          <w:kern w:val="2"/>
          <w:sz w:val="32"/>
          <w:szCs w:val="32"/>
          <w:lang w:val="en-US" w:eastAsia="zh-CN" w:bidi="ar-SA"/>
        </w:rPr>
        <w:t>年初预算数</w:t>
      </w:r>
      <w:r>
        <w:rPr>
          <w:rFonts w:hint="eastAsia" w:ascii="仿宋" w:hAnsi="仿宋" w:eastAsia="仿宋" w:cs="仿宋"/>
          <w:b w:val="0"/>
          <w:bCs w:val="0"/>
          <w:kern w:val="2"/>
          <w:sz w:val="32"/>
          <w:szCs w:val="32"/>
          <w:lang w:val="en-US" w:eastAsia="zh-CN" w:bidi="ar-SA"/>
        </w:rPr>
        <w:t>15.12</w:t>
      </w:r>
      <w:r>
        <w:rPr>
          <w:rFonts w:hint="default" w:ascii="仿宋" w:hAnsi="仿宋" w:eastAsia="仿宋" w:cs="仿宋"/>
          <w:b w:val="0"/>
          <w:bCs w:val="0"/>
          <w:kern w:val="2"/>
          <w:sz w:val="32"/>
          <w:szCs w:val="32"/>
          <w:lang w:val="en-US" w:eastAsia="zh-CN" w:bidi="ar-SA"/>
        </w:rPr>
        <w:t>万元，其中：财政拨款</w:t>
      </w:r>
      <w:r>
        <w:rPr>
          <w:rFonts w:hint="eastAsia" w:ascii="仿宋" w:hAnsi="仿宋" w:eastAsia="仿宋" w:cs="仿宋"/>
          <w:b w:val="0"/>
          <w:bCs w:val="0"/>
          <w:kern w:val="2"/>
          <w:sz w:val="32"/>
          <w:szCs w:val="32"/>
          <w:lang w:val="en-US" w:eastAsia="zh-CN" w:bidi="ar-SA"/>
        </w:rPr>
        <w:t>15.12</w:t>
      </w:r>
      <w:r>
        <w:rPr>
          <w:rFonts w:hint="default" w:ascii="仿宋" w:hAnsi="仿宋" w:eastAsia="仿宋" w:cs="仿宋"/>
          <w:b w:val="0"/>
          <w:bCs w:val="0"/>
          <w:kern w:val="2"/>
          <w:sz w:val="32"/>
          <w:szCs w:val="32"/>
          <w:lang w:val="en-US" w:eastAsia="zh-CN" w:bidi="ar-SA"/>
        </w:rPr>
        <w:t>万元，其他资金</w:t>
      </w:r>
      <w:r>
        <w:rPr>
          <w:rFonts w:hint="eastAsia" w:ascii="仿宋" w:hAnsi="仿宋" w:eastAsia="仿宋" w:cs="仿宋"/>
          <w:b w:val="0"/>
          <w:bCs w:val="0"/>
          <w:kern w:val="2"/>
          <w:sz w:val="32"/>
          <w:szCs w:val="32"/>
          <w:lang w:val="en-US" w:eastAsia="zh-CN" w:bidi="ar-SA"/>
        </w:rPr>
        <w:t>0</w:t>
      </w:r>
      <w:r>
        <w:rPr>
          <w:rFonts w:hint="default" w:ascii="仿宋" w:hAnsi="仿宋" w:eastAsia="仿宋" w:cs="仿宋"/>
          <w:b w:val="0"/>
          <w:bCs w:val="0"/>
          <w:kern w:val="2"/>
          <w:sz w:val="32"/>
          <w:szCs w:val="32"/>
          <w:lang w:val="en-US" w:eastAsia="zh-CN" w:bidi="ar-SA"/>
        </w:rPr>
        <w:t>万元。</w:t>
      </w:r>
    </w:p>
    <w:p w14:paraId="360E0AE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default" w:ascii="仿宋" w:hAnsi="仿宋" w:eastAsia="仿宋" w:cs="仿宋"/>
          <w:b w:val="0"/>
          <w:bCs w:val="0"/>
          <w:kern w:val="2"/>
          <w:sz w:val="32"/>
          <w:szCs w:val="32"/>
          <w:lang w:val="en-US" w:eastAsia="zh-CN" w:bidi="ar-SA"/>
        </w:rPr>
        <w:t>本</w:t>
      </w:r>
      <w:r>
        <w:rPr>
          <w:rFonts w:hint="eastAsia" w:ascii="仿宋" w:hAnsi="仿宋" w:eastAsia="仿宋" w:cs="仿宋"/>
          <w:b w:val="0"/>
          <w:bCs w:val="0"/>
          <w:kern w:val="2"/>
          <w:sz w:val="32"/>
          <w:szCs w:val="32"/>
          <w:lang w:val="en-US" w:eastAsia="zh-CN" w:bidi="ar-SA"/>
        </w:rPr>
        <w:t>项目</w:t>
      </w:r>
      <w:r>
        <w:rPr>
          <w:rFonts w:hint="default" w:ascii="仿宋" w:hAnsi="仿宋" w:eastAsia="仿宋" w:cs="仿宋"/>
          <w:b w:val="0"/>
          <w:bCs w:val="0"/>
          <w:kern w:val="2"/>
          <w:sz w:val="32"/>
          <w:szCs w:val="32"/>
          <w:lang w:val="en-US" w:eastAsia="zh-CN" w:bidi="ar-SA"/>
        </w:rPr>
        <w:t>资金</w:t>
      </w:r>
      <w:r>
        <w:rPr>
          <w:rFonts w:hint="eastAsia" w:ascii="仿宋" w:hAnsi="仿宋" w:eastAsia="仿宋" w:cs="仿宋"/>
          <w:b w:val="0"/>
          <w:bCs w:val="0"/>
          <w:kern w:val="2"/>
          <w:sz w:val="32"/>
          <w:szCs w:val="32"/>
          <w:lang w:val="en-US" w:eastAsia="zh-CN" w:bidi="ar-SA"/>
        </w:rPr>
        <w:t>年度调整金额0</w:t>
      </w:r>
      <w:r>
        <w:rPr>
          <w:rFonts w:hint="default" w:ascii="仿宋" w:hAnsi="仿宋" w:eastAsia="仿宋" w:cs="仿宋"/>
          <w:b w:val="0"/>
          <w:bCs w:val="0"/>
          <w:kern w:val="2"/>
          <w:sz w:val="32"/>
          <w:szCs w:val="32"/>
          <w:lang w:val="en-US" w:eastAsia="zh-CN" w:bidi="ar-SA"/>
        </w:rPr>
        <w:t>万元，其中：财政拨款</w:t>
      </w:r>
      <w:r>
        <w:rPr>
          <w:rFonts w:hint="eastAsia" w:ascii="仿宋" w:hAnsi="仿宋" w:eastAsia="仿宋" w:cs="仿宋"/>
          <w:b w:val="0"/>
          <w:bCs w:val="0"/>
          <w:kern w:val="2"/>
          <w:sz w:val="32"/>
          <w:szCs w:val="32"/>
          <w:lang w:val="en-US" w:eastAsia="zh-CN" w:bidi="ar-SA"/>
        </w:rPr>
        <w:t>0</w:t>
      </w:r>
      <w:r>
        <w:rPr>
          <w:rFonts w:hint="default" w:ascii="仿宋" w:hAnsi="仿宋" w:eastAsia="仿宋" w:cs="仿宋"/>
          <w:b w:val="0"/>
          <w:bCs w:val="0"/>
          <w:kern w:val="2"/>
          <w:sz w:val="32"/>
          <w:szCs w:val="32"/>
          <w:lang w:val="en-US" w:eastAsia="zh-CN" w:bidi="ar-SA"/>
        </w:rPr>
        <w:t>万元，其他资金</w:t>
      </w:r>
      <w:r>
        <w:rPr>
          <w:rFonts w:hint="eastAsia" w:ascii="仿宋" w:hAnsi="仿宋" w:eastAsia="仿宋" w:cs="仿宋"/>
          <w:b w:val="0"/>
          <w:bCs w:val="0"/>
          <w:kern w:val="2"/>
          <w:sz w:val="32"/>
          <w:szCs w:val="32"/>
          <w:lang w:val="en-US" w:eastAsia="zh-CN" w:bidi="ar-SA"/>
        </w:rPr>
        <w:t>0</w:t>
      </w:r>
      <w:r>
        <w:rPr>
          <w:rFonts w:hint="default" w:ascii="仿宋" w:hAnsi="仿宋" w:eastAsia="仿宋" w:cs="仿宋"/>
          <w:b w:val="0"/>
          <w:bCs w:val="0"/>
          <w:kern w:val="2"/>
          <w:sz w:val="32"/>
          <w:szCs w:val="32"/>
          <w:lang w:val="en-US" w:eastAsia="zh-CN" w:bidi="ar-SA"/>
        </w:rPr>
        <w:t>万元。</w:t>
      </w:r>
    </w:p>
    <w:p w14:paraId="60C70D27">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default" w:ascii="仿宋" w:hAnsi="仿宋" w:eastAsia="仿宋" w:cs="仿宋"/>
          <w:b w:val="0"/>
          <w:bCs w:val="0"/>
          <w:kern w:val="2"/>
          <w:sz w:val="32"/>
          <w:szCs w:val="32"/>
          <w:lang w:val="en-US" w:eastAsia="zh-CN" w:bidi="ar-SA"/>
        </w:rPr>
        <w:t>本</w:t>
      </w:r>
      <w:r>
        <w:rPr>
          <w:rFonts w:hint="eastAsia" w:ascii="仿宋" w:hAnsi="仿宋" w:eastAsia="仿宋" w:cs="仿宋"/>
          <w:b w:val="0"/>
          <w:bCs w:val="0"/>
          <w:kern w:val="2"/>
          <w:sz w:val="32"/>
          <w:szCs w:val="32"/>
          <w:lang w:val="en-US" w:eastAsia="zh-CN" w:bidi="ar-SA"/>
        </w:rPr>
        <w:t>项目</w:t>
      </w:r>
      <w:r>
        <w:rPr>
          <w:rFonts w:hint="default" w:ascii="仿宋" w:hAnsi="仿宋" w:eastAsia="仿宋" w:cs="仿宋"/>
          <w:b w:val="0"/>
          <w:bCs w:val="0"/>
          <w:kern w:val="2"/>
          <w:sz w:val="32"/>
          <w:szCs w:val="32"/>
          <w:lang w:val="en-US" w:eastAsia="zh-CN" w:bidi="ar-SA"/>
        </w:rPr>
        <w:t>资金</w:t>
      </w:r>
      <w:r>
        <w:rPr>
          <w:rFonts w:hint="eastAsia" w:ascii="仿宋" w:hAnsi="仿宋" w:eastAsia="仿宋" w:cs="仿宋"/>
          <w:b w:val="0"/>
          <w:bCs w:val="0"/>
          <w:kern w:val="2"/>
          <w:sz w:val="32"/>
          <w:szCs w:val="32"/>
          <w:lang w:val="en-US" w:eastAsia="zh-CN" w:bidi="ar-SA"/>
        </w:rPr>
        <w:t>变动后预算数15.12</w:t>
      </w:r>
      <w:r>
        <w:rPr>
          <w:rFonts w:hint="default" w:ascii="仿宋" w:hAnsi="仿宋" w:eastAsia="仿宋" w:cs="仿宋"/>
          <w:b w:val="0"/>
          <w:bCs w:val="0"/>
          <w:kern w:val="2"/>
          <w:sz w:val="32"/>
          <w:szCs w:val="32"/>
          <w:lang w:val="en-US" w:eastAsia="zh-CN" w:bidi="ar-SA"/>
        </w:rPr>
        <w:t>万元，其中：财政拨款</w:t>
      </w:r>
      <w:r>
        <w:rPr>
          <w:rFonts w:hint="eastAsia" w:ascii="仿宋" w:hAnsi="仿宋" w:eastAsia="仿宋" w:cs="仿宋"/>
          <w:b w:val="0"/>
          <w:bCs w:val="0"/>
          <w:kern w:val="2"/>
          <w:sz w:val="32"/>
          <w:szCs w:val="32"/>
          <w:lang w:val="en-US" w:eastAsia="zh-CN" w:bidi="ar-SA"/>
        </w:rPr>
        <w:t>15.12</w:t>
      </w:r>
      <w:r>
        <w:rPr>
          <w:rFonts w:hint="default" w:ascii="仿宋" w:hAnsi="仿宋" w:eastAsia="仿宋" w:cs="仿宋"/>
          <w:b w:val="0"/>
          <w:bCs w:val="0"/>
          <w:kern w:val="2"/>
          <w:sz w:val="32"/>
          <w:szCs w:val="32"/>
          <w:lang w:val="en-US" w:eastAsia="zh-CN" w:bidi="ar-SA"/>
        </w:rPr>
        <w:t>万元，其他资金</w:t>
      </w:r>
      <w:r>
        <w:rPr>
          <w:rFonts w:hint="eastAsia" w:ascii="仿宋" w:hAnsi="仿宋" w:eastAsia="仿宋" w:cs="仿宋"/>
          <w:b w:val="0"/>
          <w:bCs w:val="0"/>
          <w:kern w:val="2"/>
          <w:sz w:val="32"/>
          <w:szCs w:val="32"/>
          <w:lang w:val="en-US" w:eastAsia="zh-CN" w:bidi="ar-SA"/>
        </w:rPr>
        <w:t>0</w:t>
      </w:r>
      <w:r>
        <w:rPr>
          <w:rFonts w:hint="default" w:ascii="仿宋" w:hAnsi="仿宋" w:eastAsia="仿宋" w:cs="仿宋"/>
          <w:b w:val="0"/>
          <w:bCs w:val="0"/>
          <w:kern w:val="2"/>
          <w:sz w:val="32"/>
          <w:szCs w:val="32"/>
          <w:lang w:val="en-US" w:eastAsia="zh-CN" w:bidi="ar-SA"/>
        </w:rPr>
        <w:t>万元。</w:t>
      </w:r>
    </w:p>
    <w:p w14:paraId="0E4AD80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default" w:ascii="仿宋" w:hAnsi="仿宋" w:eastAsia="仿宋" w:cs="仿宋"/>
          <w:b w:val="0"/>
          <w:bCs w:val="0"/>
          <w:kern w:val="2"/>
          <w:sz w:val="32"/>
          <w:szCs w:val="32"/>
          <w:lang w:val="en-US" w:eastAsia="zh-CN" w:bidi="ar-SA"/>
        </w:rPr>
        <w:t>本</w:t>
      </w:r>
      <w:r>
        <w:rPr>
          <w:rFonts w:hint="eastAsia" w:ascii="仿宋" w:hAnsi="仿宋" w:eastAsia="仿宋" w:cs="仿宋"/>
          <w:b w:val="0"/>
          <w:bCs w:val="0"/>
          <w:kern w:val="2"/>
          <w:sz w:val="32"/>
          <w:szCs w:val="32"/>
          <w:lang w:val="en-US" w:eastAsia="zh-CN" w:bidi="ar-SA"/>
        </w:rPr>
        <w:t>项目</w:t>
      </w:r>
      <w:r>
        <w:rPr>
          <w:rFonts w:hint="default" w:ascii="仿宋" w:hAnsi="仿宋" w:eastAsia="仿宋" w:cs="仿宋"/>
          <w:b w:val="0"/>
          <w:bCs w:val="0"/>
          <w:kern w:val="2"/>
          <w:sz w:val="32"/>
          <w:szCs w:val="32"/>
          <w:lang w:val="en-US" w:eastAsia="zh-CN" w:bidi="ar-SA"/>
        </w:rPr>
        <w:t>资金全年执行数</w:t>
      </w:r>
      <w:r>
        <w:rPr>
          <w:rFonts w:hint="eastAsia" w:ascii="仿宋" w:hAnsi="仿宋" w:eastAsia="仿宋" w:cs="仿宋"/>
          <w:b w:val="0"/>
          <w:bCs w:val="0"/>
          <w:kern w:val="2"/>
          <w:sz w:val="32"/>
          <w:szCs w:val="32"/>
          <w:lang w:val="en-US" w:eastAsia="zh-CN" w:bidi="ar-SA"/>
        </w:rPr>
        <w:t>15.12</w:t>
      </w:r>
      <w:r>
        <w:rPr>
          <w:rFonts w:hint="default" w:ascii="仿宋" w:hAnsi="仿宋" w:eastAsia="仿宋" w:cs="仿宋"/>
          <w:b w:val="0"/>
          <w:bCs w:val="0"/>
          <w:kern w:val="2"/>
          <w:sz w:val="32"/>
          <w:szCs w:val="32"/>
          <w:lang w:val="en-US" w:eastAsia="zh-CN" w:bidi="ar-SA"/>
        </w:rPr>
        <w:t>万元</w:t>
      </w:r>
      <w:r>
        <w:rPr>
          <w:rFonts w:hint="eastAsia" w:ascii="仿宋" w:hAnsi="仿宋" w:eastAsia="仿宋" w:cs="仿宋"/>
          <w:b w:val="0"/>
          <w:bCs w:val="0"/>
          <w:kern w:val="2"/>
          <w:sz w:val="32"/>
          <w:szCs w:val="32"/>
          <w:lang w:val="en-US" w:eastAsia="zh-CN" w:bidi="ar-SA"/>
        </w:rPr>
        <w:t>、执行率为100%</w:t>
      </w:r>
      <w:r>
        <w:rPr>
          <w:rFonts w:hint="default" w:ascii="仿宋" w:hAnsi="仿宋" w:eastAsia="仿宋" w:cs="仿宋"/>
          <w:b w:val="0"/>
          <w:bCs w:val="0"/>
          <w:kern w:val="2"/>
          <w:sz w:val="32"/>
          <w:szCs w:val="32"/>
          <w:lang w:val="en-US" w:eastAsia="zh-CN" w:bidi="ar-SA"/>
        </w:rPr>
        <w:t>，其中：财政拨款</w:t>
      </w:r>
      <w:r>
        <w:rPr>
          <w:rFonts w:hint="eastAsia" w:ascii="仿宋" w:hAnsi="仿宋" w:eastAsia="仿宋" w:cs="仿宋"/>
          <w:b w:val="0"/>
          <w:bCs w:val="0"/>
          <w:kern w:val="2"/>
          <w:sz w:val="32"/>
          <w:szCs w:val="32"/>
          <w:lang w:val="en-US" w:eastAsia="zh-CN" w:bidi="ar-SA"/>
        </w:rPr>
        <w:t>15.12</w:t>
      </w:r>
      <w:r>
        <w:rPr>
          <w:rFonts w:hint="default" w:ascii="仿宋" w:hAnsi="仿宋" w:eastAsia="仿宋" w:cs="仿宋"/>
          <w:b w:val="0"/>
          <w:bCs w:val="0"/>
          <w:kern w:val="2"/>
          <w:sz w:val="32"/>
          <w:szCs w:val="32"/>
          <w:lang w:val="en-US" w:eastAsia="zh-CN" w:bidi="ar-SA"/>
        </w:rPr>
        <w:t>万元，其他资金</w:t>
      </w:r>
      <w:r>
        <w:rPr>
          <w:rFonts w:hint="eastAsia" w:ascii="仿宋" w:hAnsi="仿宋" w:eastAsia="仿宋" w:cs="仿宋"/>
          <w:b w:val="0"/>
          <w:bCs w:val="0"/>
          <w:kern w:val="2"/>
          <w:sz w:val="32"/>
          <w:szCs w:val="32"/>
          <w:lang w:val="en-US" w:eastAsia="zh-CN" w:bidi="ar-SA"/>
        </w:rPr>
        <w:t>0</w:t>
      </w:r>
      <w:r>
        <w:rPr>
          <w:rFonts w:hint="default" w:ascii="仿宋" w:hAnsi="仿宋" w:eastAsia="仿宋" w:cs="仿宋"/>
          <w:b w:val="0"/>
          <w:bCs w:val="0"/>
          <w:kern w:val="2"/>
          <w:sz w:val="32"/>
          <w:szCs w:val="32"/>
          <w:lang w:val="en-US" w:eastAsia="zh-CN" w:bidi="ar-SA"/>
        </w:rPr>
        <w:t>万元。</w:t>
      </w:r>
    </w:p>
    <w:p w14:paraId="57E4524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仿宋" w:hAnsi="仿宋" w:eastAsia="仿宋" w:cs="仿宋"/>
          <w:b w:val="0"/>
          <w:bCs w:val="0"/>
          <w:kern w:val="2"/>
          <w:sz w:val="32"/>
          <w:szCs w:val="32"/>
          <w:lang w:val="en-US" w:eastAsia="zh-CN" w:bidi="ar-SA"/>
        </w:rPr>
      </w:pPr>
      <w:r>
        <w:rPr>
          <w:rFonts w:hint="default" w:ascii="仿宋" w:hAnsi="仿宋" w:eastAsia="仿宋" w:cs="仿宋"/>
          <w:b w:val="0"/>
          <w:bCs w:val="0"/>
          <w:kern w:val="2"/>
          <w:sz w:val="32"/>
          <w:szCs w:val="32"/>
          <w:lang w:val="en-US" w:eastAsia="zh-CN" w:bidi="ar-SA"/>
        </w:rPr>
        <w:t>（三）项目资金产出情况。</w:t>
      </w:r>
    </w:p>
    <w:p w14:paraId="7A81B2D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本项目资金为15.12万元，到位资金15.12万元，实际支出资金15.12万元，预算执行率为100%，资金主要用于单位审计业务，以保障审计活动良好开展，人员经费正常拨付本单位严格结合本单位职责和项目情况科学合理设置绩效目标，能够反映核心产出效果，与支出内容、范围、方向紧密相关，力求精简准确，符合客观实际，与资金量相匹配，数量指标、质量指标、时效指标与成本指标都按照年初既定计划完成。</w:t>
      </w:r>
    </w:p>
    <w:p w14:paraId="3E3FF01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仿宋" w:hAnsi="仿宋" w:eastAsia="仿宋" w:cs="仿宋"/>
          <w:b w:val="0"/>
          <w:bCs w:val="0"/>
          <w:kern w:val="2"/>
          <w:sz w:val="32"/>
          <w:szCs w:val="32"/>
          <w:lang w:val="en-US" w:eastAsia="zh-CN" w:bidi="ar-SA"/>
        </w:rPr>
      </w:pPr>
      <w:r>
        <w:rPr>
          <w:rFonts w:hint="default" w:ascii="仿宋" w:hAnsi="仿宋" w:eastAsia="仿宋" w:cs="仿宋"/>
          <w:b w:val="0"/>
          <w:bCs w:val="0"/>
          <w:kern w:val="2"/>
          <w:sz w:val="32"/>
          <w:szCs w:val="32"/>
          <w:lang w:val="en-US" w:eastAsia="zh-CN" w:bidi="ar-SA"/>
        </w:rPr>
        <w:t>（四）项目资金管理情况。</w:t>
      </w:r>
    </w:p>
    <w:p w14:paraId="07D4BEEA">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项目预期目标已完成。我单位在遵守国家、自治区相关政策与管理办法的同时，还制定了单位的《财务管理制度》。制度包含预算管理、收入管理、支出管理、往来资金结算管理、现金及银行存款管理、结转结余资金管理等制度。在制度上为项目资金使用提供了指导以及规范，实际支出与项目规定的用途一致，不存在超范围、超标准支出、挤占挪用等违法违规问题，资金管理状况良好。</w:t>
      </w:r>
    </w:p>
    <w:p w14:paraId="7520EB97">
      <w:pPr>
        <w:pStyle w:val="2"/>
        <w:bidi w:val="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三、项目绩效情况</w:t>
      </w:r>
    </w:p>
    <w:p w14:paraId="44F865E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1.产出指标完成情况</w:t>
      </w:r>
    </w:p>
    <w:p w14:paraId="48C1B9E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（1）数量指标</w:t>
      </w:r>
    </w:p>
    <w:p w14:paraId="1AC4764A">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1）审计单位(家)，</w:t>
      </w:r>
      <w:r>
        <w:rPr>
          <w:rFonts w:hint="default" w:ascii="仿宋" w:hAnsi="仿宋" w:eastAsia="仿宋" w:cs="仿宋"/>
          <w:b w:val="0"/>
          <w:bCs w:val="0"/>
          <w:kern w:val="2"/>
          <w:sz w:val="32"/>
          <w:szCs w:val="32"/>
          <w:lang w:val="en-US" w:eastAsia="zh-CN" w:bidi="ar-SA"/>
        </w:rPr>
        <w:t>目标值</w:t>
      </w:r>
      <w:r>
        <w:rPr>
          <w:rFonts w:hint="eastAsia" w:ascii="仿宋" w:hAnsi="仿宋" w:eastAsia="仿宋" w:cs="仿宋"/>
          <w:b w:val="0"/>
          <w:bCs w:val="0"/>
          <w:kern w:val="2"/>
          <w:sz w:val="32"/>
          <w:szCs w:val="32"/>
          <w:lang w:val="en-US" w:eastAsia="zh-CN" w:bidi="ar-SA"/>
        </w:rPr>
        <w:t>10</w:t>
      </w:r>
      <w:r>
        <w:rPr>
          <w:rFonts w:hint="default" w:ascii="仿宋" w:hAnsi="仿宋" w:eastAsia="仿宋" w:cs="仿宋"/>
          <w:b w:val="0"/>
          <w:bCs w:val="0"/>
          <w:kern w:val="2"/>
          <w:sz w:val="32"/>
          <w:szCs w:val="32"/>
          <w:lang w:val="en-US" w:eastAsia="zh-CN" w:bidi="ar-SA"/>
        </w:rPr>
        <w:t>，完成值</w:t>
      </w:r>
      <w:r>
        <w:rPr>
          <w:rFonts w:hint="eastAsia" w:ascii="仿宋" w:hAnsi="仿宋" w:eastAsia="仿宋" w:cs="仿宋"/>
          <w:b w:val="0"/>
          <w:bCs w:val="0"/>
          <w:kern w:val="2"/>
          <w:sz w:val="32"/>
          <w:szCs w:val="32"/>
          <w:lang w:val="en-US" w:eastAsia="zh-CN" w:bidi="ar-SA"/>
        </w:rPr>
        <w:t>9</w:t>
      </w:r>
      <w:r>
        <w:rPr>
          <w:rFonts w:hint="default" w:ascii="仿宋" w:hAnsi="仿宋" w:eastAsia="仿宋" w:cs="仿宋"/>
          <w:b w:val="0"/>
          <w:bCs w:val="0"/>
          <w:kern w:val="2"/>
          <w:sz w:val="32"/>
          <w:szCs w:val="32"/>
          <w:lang w:val="en-US" w:eastAsia="zh-CN" w:bidi="ar-SA"/>
        </w:rPr>
        <w:t>，分值</w:t>
      </w:r>
      <w:r>
        <w:rPr>
          <w:rFonts w:hint="eastAsia" w:ascii="仿宋" w:hAnsi="仿宋" w:eastAsia="仿宋" w:cs="仿宋"/>
          <w:b w:val="0"/>
          <w:bCs w:val="0"/>
          <w:kern w:val="2"/>
          <w:sz w:val="32"/>
          <w:szCs w:val="32"/>
          <w:lang w:val="en-US" w:eastAsia="zh-CN" w:bidi="ar-SA"/>
        </w:rPr>
        <w:t>7</w:t>
      </w:r>
      <w:r>
        <w:rPr>
          <w:rFonts w:hint="default" w:ascii="仿宋" w:hAnsi="仿宋" w:eastAsia="仿宋" w:cs="仿宋"/>
          <w:b w:val="0"/>
          <w:bCs w:val="0"/>
          <w:kern w:val="2"/>
          <w:sz w:val="32"/>
          <w:szCs w:val="32"/>
          <w:lang w:val="en-US" w:eastAsia="zh-CN" w:bidi="ar-SA"/>
        </w:rPr>
        <w:t>，得分</w:t>
      </w:r>
      <w:r>
        <w:rPr>
          <w:rFonts w:hint="eastAsia" w:ascii="仿宋" w:hAnsi="仿宋" w:eastAsia="仿宋" w:cs="仿宋"/>
          <w:b w:val="0"/>
          <w:bCs w:val="0"/>
          <w:kern w:val="2"/>
          <w:sz w:val="32"/>
          <w:szCs w:val="32"/>
          <w:lang w:val="en-US" w:eastAsia="zh-CN" w:bidi="ar-SA"/>
        </w:rPr>
        <w:t>7</w:t>
      </w:r>
      <w:r>
        <w:rPr>
          <w:rFonts w:hint="default" w:ascii="仿宋" w:hAnsi="仿宋" w:eastAsia="仿宋" w:cs="仿宋"/>
          <w:b w:val="0"/>
          <w:bCs w:val="0"/>
          <w:kern w:val="2"/>
          <w:sz w:val="32"/>
          <w:szCs w:val="32"/>
          <w:lang w:val="en-US" w:eastAsia="zh-CN" w:bidi="ar-SA"/>
        </w:rPr>
        <w:t>。</w:t>
      </w:r>
    </w:p>
    <w:p w14:paraId="41BFF3E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2）审计项目(项)，</w:t>
      </w:r>
      <w:r>
        <w:rPr>
          <w:rFonts w:hint="default" w:ascii="仿宋" w:hAnsi="仿宋" w:eastAsia="仿宋" w:cs="仿宋"/>
          <w:b w:val="0"/>
          <w:bCs w:val="0"/>
          <w:kern w:val="2"/>
          <w:sz w:val="32"/>
          <w:szCs w:val="32"/>
          <w:lang w:val="en-US" w:eastAsia="zh-CN" w:bidi="ar-SA"/>
        </w:rPr>
        <w:t>目标值</w:t>
      </w:r>
      <w:r>
        <w:rPr>
          <w:rFonts w:hint="eastAsia" w:ascii="仿宋" w:hAnsi="仿宋" w:eastAsia="仿宋" w:cs="仿宋"/>
          <w:b w:val="0"/>
          <w:bCs w:val="0"/>
          <w:kern w:val="2"/>
          <w:sz w:val="32"/>
          <w:szCs w:val="32"/>
          <w:lang w:val="en-US" w:eastAsia="zh-CN" w:bidi="ar-SA"/>
        </w:rPr>
        <w:t>20</w:t>
      </w:r>
      <w:r>
        <w:rPr>
          <w:rFonts w:hint="default" w:ascii="仿宋" w:hAnsi="仿宋" w:eastAsia="仿宋" w:cs="仿宋"/>
          <w:b w:val="0"/>
          <w:bCs w:val="0"/>
          <w:kern w:val="2"/>
          <w:sz w:val="32"/>
          <w:szCs w:val="32"/>
          <w:lang w:val="en-US" w:eastAsia="zh-CN" w:bidi="ar-SA"/>
        </w:rPr>
        <w:t>，完成值</w:t>
      </w:r>
      <w:r>
        <w:rPr>
          <w:rFonts w:hint="eastAsia" w:ascii="仿宋" w:hAnsi="仿宋" w:eastAsia="仿宋" w:cs="仿宋"/>
          <w:b w:val="0"/>
          <w:bCs w:val="0"/>
          <w:kern w:val="2"/>
          <w:sz w:val="32"/>
          <w:szCs w:val="32"/>
          <w:lang w:val="en-US" w:eastAsia="zh-CN" w:bidi="ar-SA"/>
        </w:rPr>
        <w:t>9</w:t>
      </w:r>
      <w:r>
        <w:rPr>
          <w:rFonts w:hint="default" w:ascii="仿宋" w:hAnsi="仿宋" w:eastAsia="仿宋" w:cs="仿宋"/>
          <w:b w:val="0"/>
          <w:bCs w:val="0"/>
          <w:kern w:val="2"/>
          <w:sz w:val="32"/>
          <w:szCs w:val="32"/>
          <w:lang w:val="en-US" w:eastAsia="zh-CN" w:bidi="ar-SA"/>
        </w:rPr>
        <w:t>，分值</w:t>
      </w:r>
      <w:r>
        <w:rPr>
          <w:rFonts w:hint="eastAsia" w:ascii="仿宋" w:hAnsi="仿宋" w:eastAsia="仿宋" w:cs="仿宋"/>
          <w:b w:val="0"/>
          <w:bCs w:val="0"/>
          <w:kern w:val="2"/>
          <w:sz w:val="32"/>
          <w:szCs w:val="32"/>
          <w:lang w:val="en-US" w:eastAsia="zh-CN" w:bidi="ar-SA"/>
        </w:rPr>
        <w:t>8</w:t>
      </w:r>
      <w:r>
        <w:rPr>
          <w:rFonts w:hint="default" w:ascii="仿宋" w:hAnsi="仿宋" w:eastAsia="仿宋" w:cs="仿宋"/>
          <w:b w:val="0"/>
          <w:bCs w:val="0"/>
          <w:kern w:val="2"/>
          <w:sz w:val="32"/>
          <w:szCs w:val="32"/>
          <w:lang w:val="en-US" w:eastAsia="zh-CN" w:bidi="ar-SA"/>
        </w:rPr>
        <w:t>，得分</w:t>
      </w:r>
      <w:r>
        <w:rPr>
          <w:rFonts w:hint="eastAsia" w:ascii="仿宋" w:hAnsi="仿宋" w:eastAsia="仿宋" w:cs="仿宋"/>
          <w:b w:val="0"/>
          <w:bCs w:val="0"/>
          <w:kern w:val="2"/>
          <w:sz w:val="32"/>
          <w:szCs w:val="32"/>
          <w:lang w:val="en-US" w:eastAsia="zh-CN" w:bidi="ar-SA"/>
        </w:rPr>
        <w:t>8</w:t>
      </w:r>
      <w:r>
        <w:rPr>
          <w:rFonts w:hint="default" w:ascii="仿宋" w:hAnsi="仿宋" w:eastAsia="仿宋" w:cs="仿宋"/>
          <w:b w:val="0"/>
          <w:bCs w:val="0"/>
          <w:kern w:val="2"/>
          <w:sz w:val="32"/>
          <w:szCs w:val="32"/>
          <w:lang w:val="en-US" w:eastAsia="zh-CN" w:bidi="ar-SA"/>
        </w:rPr>
        <w:t>。</w:t>
      </w:r>
    </w:p>
    <w:p w14:paraId="702B37B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（2）质量指标</w:t>
      </w:r>
    </w:p>
    <w:p w14:paraId="35CE656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1）单位审计完成率(%)，</w:t>
      </w:r>
      <w:r>
        <w:rPr>
          <w:rFonts w:hint="default" w:ascii="仿宋" w:hAnsi="仿宋" w:eastAsia="仿宋" w:cs="仿宋"/>
          <w:b w:val="0"/>
          <w:bCs w:val="0"/>
          <w:kern w:val="2"/>
          <w:sz w:val="32"/>
          <w:szCs w:val="32"/>
          <w:lang w:val="en-US" w:eastAsia="zh-CN" w:bidi="ar-SA"/>
        </w:rPr>
        <w:t>目标值</w:t>
      </w:r>
      <w:r>
        <w:rPr>
          <w:rFonts w:hint="eastAsia" w:ascii="仿宋" w:hAnsi="仿宋" w:eastAsia="仿宋" w:cs="仿宋"/>
          <w:b w:val="0"/>
          <w:bCs w:val="0"/>
          <w:kern w:val="2"/>
          <w:sz w:val="32"/>
          <w:szCs w:val="32"/>
          <w:lang w:val="en-US" w:eastAsia="zh-CN" w:bidi="ar-SA"/>
        </w:rPr>
        <w:t>100</w:t>
      </w:r>
      <w:r>
        <w:rPr>
          <w:rFonts w:hint="default" w:ascii="仿宋" w:hAnsi="仿宋" w:eastAsia="仿宋" w:cs="仿宋"/>
          <w:b w:val="0"/>
          <w:bCs w:val="0"/>
          <w:kern w:val="2"/>
          <w:sz w:val="32"/>
          <w:szCs w:val="32"/>
          <w:lang w:val="en-US" w:eastAsia="zh-CN" w:bidi="ar-SA"/>
        </w:rPr>
        <w:t>，完成值</w:t>
      </w:r>
      <w:r>
        <w:rPr>
          <w:rFonts w:hint="eastAsia" w:ascii="仿宋" w:hAnsi="仿宋" w:eastAsia="仿宋" w:cs="仿宋"/>
          <w:b w:val="0"/>
          <w:bCs w:val="0"/>
          <w:kern w:val="2"/>
          <w:sz w:val="32"/>
          <w:szCs w:val="32"/>
          <w:lang w:val="en-US" w:eastAsia="zh-CN" w:bidi="ar-SA"/>
        </w:rPr>
        <w:t>9</w:t>
      </w:r>
      <w:r>
        <w:rPr>
          <w:rFonts w:hint="default" w:ascii="仿宋" w:hAnsi="仿宋" w:eastAsia="仿宋" w:cs="仿宋"/>
          <w:b w:val="0"/>
          <w:bCs w:val="0"/>
          <w:kern w:val="2"/>
          <w:sz w:val="32"/>
          <w:szCs w:val="32"/>
          <w:lang w:val="en-US" w:eastAsia="zh-CN" w:bidi="ar-SA"/>
        </w:rPr>
        <w:t>，分值</w:t>
      </w:r>
      <w:r>
        <w:rPr>
          <w:rFonts w:hint="eastAsia" w:ascii="仿宋" w:hAnsi="仿宋" w:eastAsia="仿宋" w:cs="仿宋"/>
          <w:b w:val="0"/>
          <w:bCs w:val="0"/>
          <w:kern w:val="2"/>
          <w:sz w:val="32"/>
          <w:szCs w:val="32"/>
          <w:lang w:val="en-US" w:eastAsia="zh-CN" w:bidi="ar-SA"/>
        </w:rPr>
        <w:t>7</w:t>
      </w:r>
      <w:r>
        <w:rPr>
          <w:rFonts w:hint="default" w:ascii="仿宋" w:hAnsi="仿宋" w:eastAsia="仿宋" w:cs="仿宋"/>
          <w:b w:val="0"/>
          <w:bCs w:val="0"/>
          <w:kern w:val="2"/>
          <w:sz w:val="32"/>
          <w:szCs w:val="32"/>
          <w:lang w:val="en-US" w:eastAsia="zh-CN" w:bidi="ar-SA"/>
        </w:rPr>
        <w:t>，得分</w:t>
      </w:r>
      <w:r>
        <w:rPr>
          <w:rFonts w:hint="eastAsia" w:ascii="仿宋" w:hAnsi="仿宋" w:eastAsia="仿宋" w:cs="仿宋"/>
          <w:b w:val="0"/>
          <w:bCs w:val="0"/>
          <w:kern w:val="2"/>
          <w:sz w:val="32"/>
          <w:szCs w:val="32"/>
          <w:lang w:val="en-US" w:eastAsia="zh-CN" w:bidi="ar-SA"/>
        </w:rPr>
        <w:t>7</w:t>
      </w:r>
      <w:r>
        <w:rPr>
          <w:rFonts w:hint="default" w:ascii="仿宋" w:hAnsi="仿宋" w:eastAsia="仿宋" w:cs="仿宋"/>
          <w:b w:val="0"/>
          <w:bCs w:val="0"/>
          <w:kern w:val="2"/>
          <w:sz w:val="32"/>
          <w:szCs w:val="32"/>
          <w:lang w:val="en-US" w:eastAsia="zh-CN" w:bidi="ar-SA"/>
        </w:rPr>
        <w:t>。</w:t>
      </w:r>
    </w:p>
    <w:p w14:paraId="7C417EF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2）项目审计完成率(%)，</w:t>
      </w:r>
      <w:r>
        <w:rPr>
          <w:rFonts w:hint="default" w:ascii="仿宋" w:hAnsi="仿宋" w:eastAsia="仿宋" w:cs="仿宋"/>
          <w:b w:val="0"/>
          <w:bCs w:val="0"/>
          <w:kern w:val="2"/>
          <w:sz w:val="32"/>
          <w:szCs w:val="32"/>
          <w:lang w:val="en-US" w:eastAsia="zh-CN" w:bidi="ar-SA"/>
        </w:rPr>
        <w:t>目标值</w:t>
      </w:r>
      <w:r>
        <w:rPr>
          <w:rFonts w:hint="eastAsia" w:ascii="仿宋" w:hAnsi="仿宋" w:eastAsia="仿宋" w:cs="仿宋"/>
          <w:b w:val="0"/>
          <w:bCs w:val="0"/>
          <w:kern w:val="2"/>
          <w:sz w:val="32"/>
          <w:szCs w:val="32"/>
          <w:lang w:val="en-US" w:eastAsia="zh-CN" w:bidi="ar-SA"/>
        </w:rPr>
        <w:t>100</w:t>
      </w:r>
      <w:r>
        <w:rPr>
          <w:rFonts w:hint="default" w:ascii="仿宋" w:hAnsi="仿宋" w:eastAsia="仿宋" w:cs="仿宋"/>
          <w:b w:val="0"/>
          <w:bCs w:val="0"/>
          <w:kern w:val="2"/>
          <w:sz w:val="32"/>
          <w:szCs w:val="32"/>
          <w:lang w:val="en-US" w:eastAsia="zh-CN" w:bidi="ar-SA"/>
        </w:rPr>
        <w:t>，完成值</w:t>
      </w:r>
      <w:r>
        <w:rPr>
          <w:rFonts w:hint="eastAsia" w:ascii="仿宋" w:hAnsi="仿宋" w:eastAsia="仿宋" w:cs="仿宋"/>
          <w:b w:val="0"/>
          <w:bCs w:val="0"/>
          <w:kern w:val="2"/>
          <w:sz w:val="32"/>
          <w:szCs w:val="32"/>
          <w:lang w:val="en-US" w:eastAsia="zh-CN" w:bidi="ar-SA"/>
        </w:rPr>
        <w:t>9</w:t>
      </w:r>
      <w:r>
        <w:rPr>
          <w:rFonts w:hint="default" w:ascii="仿宋" w:hAnsi="仿宋" w:eastAsia="仿宋" w:cs="仿宋"/>
          <w:b w:val="0"/>
          <w:bCs w:val="0"/>
          <w:kern w:val="2"/>
          <w:sz w:val="32"/>
          <w:szCs w:val="32"/>
          <w:lang w:val="en-US" w:eastAsia="zh-CN" w:bidi="ar-SA"/>
        </w:rPr>
        <w:t>，分值</w:t>
      </w:r>
      <w:r>
        <w:rPr>
          <w:rFonts w:hint="eastAsia" w:ascii="仿宋" w:hAnsi="仿宋" w:eastAsia="仿宋" w:cs="仿宋"/>
          <w:b w:val="0"/>
          <w:bCs w:val="0"/>
          <w:kern w:val="2"/>
          <w:sz w:val="32"/>
          <w:szCs w:val="32"/>
          <w:lang w:val="en-US" w:eastAsia="zh-CN" w:bidi="ar-SA"/>
        </w:rPr>
        <w:t>8</w:t>
      </w:r>
      <w:r>
        <w:rPr>
          <w:rFonts w:hint="default" w:ascii="仿宋" w:hAnsi="仿宋" w:eastAsia="仿宋" w:cs="仿宋"/>
          <w:b w:val="0"/>
          <w:bCs w:val="0"/>
          <w:kern w:val="2"/>
          <w:sz w:val="32"/>
          <w:szCs w:val="32"/>
          <w:lang w:val="en-US" w:eastAsia="zh-CN" w:bidi="ar-SA"/>
        </w:rPr>
        <w:t>，得分</w:t>
      </w:r>
      <w:r>
        <w:rPr>
          <w:rFonts w:hint="eastAsia" w:ascii="仿宋" w:hAnsi="仿宋" w:eastAsia="仿宋" w:cs="仿宋"/>
          <w:b w:val="0"/>
          <w:bCs w:val="0"/>
          <w:kern w:val="2"/>
          <w:sz w:val="32"/>
          <w:szCs w:val="32"/>
          <w:lang w:val="en-US" w:eastAsia="zh-CN" w:bidi="ar-SA"/>
        </w:rPr>
        <w:t>8</w:t>
      </w:r>
      <w:r>
        <w:rPr>
          <w:rFonts w:hint="default" w:ascii="仿宋" w:hAnsi="仿宋" w:eastAsia="仿宋" w:cs="仿宋"/>
          <w:b w:val="0"/>
          <w:bCs w:val="0"/>
          <w:kern w:val="2"/>
          <w:sz w:val="32"/>
          <w:szCs w:val="32"/>
          <w:lang w:val="en-US" w:eastAsia="zh-CN" w:bidi="ar-SA"/>
        </w:rPr>
        <w:t>。</w:t>
      </w:r>
    </w:p>
    <w:p w14:paraId="667C9D4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（3）时效指标</w:t>
      </w:r>
    </w:p>
    <w:p w14:paraId="4F0061A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1）当年完成项目审计(年)，</w:t>
      </w:r>
      <w:r>
        <w:rPr>
          <w:rFonts w:hint="default" w:ascii="仿宋" w:hAnsi="仿宋" w:eastAsia="仿宋" w:cs="仿宋"/>
          <w:b w:val="0"/>
          <w:bCs w:val="0"/>
          <w:kern w:val="2"/>
          <w:sz w:val="32"/>
          <w:szCs w:val="32"/>
          <w:lang w:val="en-US" w:eastAsia="zh-CN" w:bidi="ar-SA"/>
        </w:rPr>
        <w:t>目标值</w:t>
      </w:r>
      <w:r>
        <w:rPr>
          <w:rFonts w:hint="eastAsia" w:ascii="仿宋" w:hAnsi="仿宋" w:eastAsia="仿宋" w:cs="仿宋"/>
          <w:b w:val="0"/>
          <w:bCs w:val="0"/>
          <w:kern w:val="2"/>
          <w:sz w:val="32"/>
          <w:szCs w:val="32"/>
          <w:lang w:val="en-US" w:eastAsia="zh-CN" w:bidi="ar-SA"/>
        </w:rPr>
        <w:t>1</w:t>
      </w:r>
      <w:r>
        <w:rPr>
          <w:rFonts w:hint="default" w:ascii="仿宋" w:hAnsi="仿宋" w:eastAsia="仿宋" w:cs="仿宋"/>
          <w:b w:val="0"/>
          <w:bCs w:val="0"/>
          <w:kern w:val="2"/>
          <w:sz w:val="32"/>
          <w:szCs w:val="32"/>
          <w:lang w:val="en-US" w:eastAsia="zh-CN" w:bidi="ar-SA"/>
        </w:rPr>
        <w:t>，完成值</w:t>
      </w:r>
      <w:r>
        <w:rPr>
          <w:rFonts w:hint="eastAsia" w:ascii="仿宋" w:hAnsi="仿宋" w:eastAsia="仿宋" w:cs="仿宋"/>
          <w:b w:val="0"/>
          <w:bCs w:val="0"/>
          <w:kern w:val="2"/>
          <w:sz w:val="32"/>
          <w:szCs w:val="32"/>
          <w:lang w:val="en-US" w:eastAsia="zh-CN" w:bidi="ar-SA"/>
        </w:rPr>
        <w:t>9</w:t>
      </w:r>
      <w:r>
        <w:rPr>
          <w:rFonts w:hint="default" w:ascii="仿宋" w:hAnsi="仿宋" w:eastAsia="仿宋" w:cs="仿宋"/>
          <w:b w:val="0"/>
          <w:bCs w:val="0"/>
          <w:kern w:val="2"/>
          <w:sz w:val="32"/>
          <w:szCs w:val="32"/>
          <w:lang w:val="en-US" w:eastAsia="zh-CN" w:bidi="ar-SA"/>
        </w:rPr>
        <w:t>，分值</w:t>
      </w:r>
      <w:r>
        <w:rPr>
          <w:rFonts w:hint="eastAsia" w:ascii="仿宋" w:hAnsi="仿宋" w:eastAsia="仿宋" w:cs="仿宋"/>
          <w:b w:val="0"/>
          <w:bCs w:val="0"/>
          <w:kern w:val="2"/>
          <w:sz w:val="32"/>
          <w:szCs w:val="32"/>
          <w:lang w:val="en-US" w:eastAsia="zh-CN" w:bidi="ar-SA"/>
        </w:rPr>
        <w:t>5</w:t>
      </w:r>
      <w:r>
        <w:rPr>
          <w:rFonts w:hint="default" w:ascii="仿宋" w:hAnsi="仿宋" w:eastAsia="仿宋" w:cs="仿宋"/>
          <w:b w:val="0"/>
          <w:bCs w:val="0"/>
          <w:kern w:val="2"/>
          <w:sz w:val="32"/>
          <w:szCs w:val="32"/>
          <w:lang w:val="en-US" w:eastAsia="zh-CN" w:bidi="ar-SA"/>
        </w:rPr>
        <w:t>，得分</w:t>
      </w:r>
      <w:r>
        <w:rPr>
          <w:rFonts w:hint="eastAsia" w:ascii="仿宋" w:hAnsi="仿宋" w:eastAsia="仿宋" w:cs="仿宋"/>
          <w:b w:val="0"/>
          <w:bCs w:val="0"/>
          <w:kern w:val="2"/>
          <w:sz w:val="32"/>
          <w:szCs w:val="32"/>
          <w:lang w:val="en-US" w:eastAsia="zh-CN" w:bidi="ar-SA"/>
        </w:rPr>
        <w:t>5</w:t>
      </w:r>
      <w:r>
        <w:rPr>
          <w:rFonts w:hint="default" w:ascii="仿宋" w:hAnsi="仿宋" w:eastAsia="仿宋" w:cs="仿宋"/>
          <w:b w:val="0"/>
          <w:bCs w:val="0"/>
          <w:kern w:val="2"/>
          <w:sz w:val="32"/>
          <w:szCs w:val="32"/>
          <w:lang w:val="en-US" w:eastAsia="zh-CN" w:bidi="ar-SA"/>
        </w:rPr>
        <w:t>。</w:t>
      </w:r>
    </w:p>
    <w:p w14:paraId="27F80EF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2）当年完成单位审计(年)，</w:t>
      </w:r>
      <w:r>
        <w:rPr>
          <w:rFonts w:hint="default" w:ascii="仿宋" w:hAnsi="仿宋" w:eastAsia="仿宋" w:cs="仿宋"/>
          <w:b w:val="0"/>
          <w:bCs w:val="0"/>
          <w:kern w:val="2"/>
          <w:sz w:val="32"/>
          <w:szCs w:val="32"/>
          <w:lang w:val="en-US" w:eastAsia="zh-CN" w:bidi="ar-SA"/>
        </w:rPr>
        <w:t>目标值</w:t>
      </w:r>
      <w:r>
        <w:rPr>
          <w:rFonts w:hint="eastAsia" w:ascii="仿宋" w:hAnsi="仿宋" w:eastAsia="仿宋" w:cs="仿宋"/>
          <w:b w:val="0"/>
          <w:bCs w:val="0"/>
          <w:kern w:val="2"/>
          <w:sz w:val="32"/>
          <w:szCs w:val="32"/>
          <w:lang w:val="en-US" w:eastAsia="zh-CN" w:bidi="ar-SA"/>
        </w:rPr>
        <w:t>1</w:t>
      </w:r>
      <w:r>
        <w:rPr>
          <w:rFonts w:hint="default" w:ascii="仿宋" w:hAnsi="仿宋" w:eastAsia="仿宋" w:cs="仿宋"/>
          <w:b w:val="0"/>
          <w:bCs w:val="0"/>
          <w:kern w:val="2"/>
          <w:sz w:val="32"/>
          <w:szCs w:val="32"/>
          <w:lang w:val="en-US" w:eastAsia="zh-CN" w:bidi="ar-SA"/>
        </w:rPr>
        <w:t>，完成值</w:t>
      </w:r>
      <w:r>
        <w:rPr>
          <w:rFonts w:hint="eastAsia" w:ascii="仿宋" w:hAnsi="仿宋" w:eastAsia="仿宋" w:cs="仿宋"/>
          <w:b w:val="0"/>
          <w:bCs w:val="0"/>
          <w:kern w:val="2"/>
          <w:sz w:val="32"/>
          <w:szCs w:val="32"/>
          <w:lang w:val="en-US" w:eastAsia="zh-CN" w:bidi="ar-SA"/>
        </w:rPr>
        <w:t>9</w:t>
      </w:r>
      <w:r>
        <w:rPr>
          <w:rFonts w:hint="default" w:ascii="仿宋" w:hAnsi="仿宋" w:eastAsia="仿宋" w:cs="仿宋"/>
          <w:b w:val="0"/>
          <w:bCs w:val="0"/>
          <w:kern w:val="2"/>
          <w:sz w:val="32"/>
          <w:szCs w:val="32"/>
          <w:lang w:val="en-US" w:eastAsia="zh-CN" w:bidi="ar-SA"/>
        </w:rPr>
        <w:t>，分值</w:t>
      </w:r>
      <w:r>
        <w:rPr>
          <w:rFonts w:hint="eastAsia" w:ascii="仿宋" w:hAnsi="仿宋" w:eastAsia="仿宋" w:cs="仿宋"/>
          <w:b w:val="0"/>
          <w:bCs w:val="0"/>
          <w:kern w:val="2"/>
          <w:sz w:val="32"/>
          <w:szCs w:val="32"/>
          <w:lang w:val="en-US" w:eastAsia="zh-CN" w:bidi="ar-SA"/>
        </w:rPr>
        <w:t>5</w:t>
      </w:r>
      <w:r>
        <w:rPr>
          <w:rFonts w:hint="default" w:ascii="仿宋" w:hAnsi="仿宋" w:eastAsia="仿宋" w:cs="仿宋"/>
          <w:b w:val="0"/>
          <w:bCs w:val="0"/>
          <w:kern w:val="2"/>
          <w:sz w:val="32"/>
          <w:szCs w:val="32"/>
          <w:lang w:val="en-US" w:eastAsia="zh-CN" w:bidi="ar-SA"/>
        </w:rPr>
        <w:t>，得分</w:t>
      </w:r>
      <w:r>
        <w:rPr>
          <w:rFonts w:hint="eastAsia" w:ascii="仿宋" w:hAnsi="仿宋" w:eastAsia="仿宋" w:cs="仿宋"/>
          <w:b w:val="0"/>
          <w:bCs w:val="0"/>
          <w:kern w:val="2"/>
          <w:sz w:val="32"/>
          <w:szCs w:val="32"/>
          <w:lang w:val="en-US" w:eastAsia="zh-CN" w:bidi="ar-SA"/>
        </w:rPr>
        <w:t>5</w:t>
      </w:r>
      <w:r>
        <w:rPr>
          <w:rFonts w:hint="default" w:ascii="仿宋" w:hAnsi="仿宋" w:eastAsia="仿宋" w:cs="仿宋"/>
          <w:b w:val="0"/>
          <w:bCs w:val="0"/>
          <w:kern w:val="2"/>
          <w:sz w:val="32"/>
          <w:szCs w:val="32"/>
          <w:lang w:val="en-US" w:eastAsia="zh-CN" w:bidi="ar-SA"/>
        </w:rPr>
        <w:t>。</w:t>
      </w:r>
    </w:p>
    <w:p w14:paraId="4037BB6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（4）成本指标</w:t>
      </w:r>
    </w:p>
    <w:p w14:paraId="6E3849D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1）全年审计业务补助经费总成本(元)，</w:t>
      </w:r>
      <w:r>
        <w:rPr>
          <w:rFonts w:hint="default" w:ascii="仿宋" w:hAnsi="仿宋" w:eastAsia="仿宋" w:cs="仿宋"/>
          <w:b w:val="0"/>
          <w:bCs w:val="0"/>
          <w:kern w:val="2"/>
          <w:sz w:val="32"/>
          <w:szCs w:val="32"/>
          <w:lang w:val="en-US" w:eastAsia="zh-CN" w:bidi="ar-SA"/>
        </w:rPr>
        <w:t>目标值</w:t>
      </w:r>
      <w:r>
        <w:rPr>
          <w:rFonts w:hint="eastAsia" w:ascii="仿宋" w:hAnsi="仿宋" w:eastAsia="仿宋" w:cs="仿宋"/>
          <w:b w:val="0"/>
          <w:bCs w:val="0"/>
          <w:kern w:val="2"/>
          <w:sz w:val="32"/>
          <w:szCs w:val="32"/>
          <w:lang w:val="en-US" w:eastAsia="zh-CN" w:bidi="ar-SA"/>
        </w:rPr>
        <w:t>151200</w:t>
      </w:r>
      <w:r>
        <w:rPr>
          <w:rFonts w:hint="default" w:ascii="仿宋" w:hAnsi="仿宋" w:eastAsia="仿宋" w:cs="仿宋"/>
          <w:b w:val="0"/>
          <w:bCs w:val="0"/>
          <w:kern w:val="2"/>
          <w:sz w:val="32"/>
          <w:szCs w:val="32"/>
          <w:lang w:val="en-US" w:eastAsia="zh-CN" w:bidi="ar-SA"/>
        </w:rPr>
        <w:t>，完成值</w:t>
      </w:r>
      <w:r>
        <w:rPr>
          <w:rFonts w:hint="eastAsia" w:ascii="仿宋" w:hAnsi="仿宋" w:eastAsia="仿宋" w:cs="仿宋"/>
          <w:b w:val="0"/>
          <w:bCs w:val="0"/>
          <w:kern w:val="2"/>
          <w:sz w:val="32"/>
          <w:szCs w:val="32"/>
          <w:lang w:val="en-US" w:eastAsia="zh-CN" w:bidi="ar-SA"/>
        </w:rPr>
        <w:t>9</w:t>
      </w:r>
      <w:r>
        <w:rPr>
          <w:rFonts w:hint="default" w:ascii="仿宋" w:hAnsi="仿宋" w:eastAsia="仿宋" w:cs="仿宋"/>
          <w:b w:val="0"/>
          <w:bCs w:val="0"/>
          <w:kern w:val="2"/>
          <w:sz w:val="32"/>
          <w:szCs w:val="32"/>
          <w:lang w:val="en-US" w:eastAsia="zh-CN" w:bidi="ar-SA"/>
        </w:rPr>
        <w:t>，分值</w:t>
      </w:r>
      <w:r>
        <w:rPr>
          <w:rFonts w:hint="eastAsia" w:ascii="仿宋" w:hAnsi="仿宋" w:eastAsia="仿宋" w:cs="仿宋"/>
          <w:b w:val="0"/>
          <w:bCs w:val="0"/>
          <w:kern w:val="2"/>
          <w:sz w:val="32"/>
          <w:szCs w:val="32"/>
          <w:lang w:val="en-US" w:eastAsia="zh-CN" w:bidi="ar-SA"/>
        </w:rPr>
        <w:t>5</w:t>
      </w:r>
      <w:r>
        <w:rPr>
          <w:rFonts w:hint="default" w:ascii="仿宋" w:hAnsi="仿宋" w:eastAsia="仿宋" w:cs="仿宋"/>
          <w:b w:val="0"/>
          <w:bCs w:val="0"/>
          <w:kern w:val="2"/>
          <w:sz w:val="32"/>
          <w:szCs w:val="32"/>
          <w:lang w:val="en-US" w:eastAsia="zh-CN" w:bidi="ar-SA"/>
        </w:rPr>
        <w:t>，得分</w:t>
      </w:r>
      <w:r>
        <w:rPr>
          <w:rFonts w:hint="eastAsia" w:ascii="仿宋" w:hAnsi="仿宋" w:eastAsia="仿宋" w:cs="仿宋"/>
          <w:b w:val="0"/>
          <w:bCs w:val="0"/>
          <w:kern w:val="2"/>
          <w:sz w:val="32"/>
          <w:szCs w:val="32"/>
          <w:lang w:val="en-US" w:eastAsia="zh-CN" w:bidi="ar-SA"/>
        </w:rPr>
        <w:t>5</w:t>
      </w:r>
      <w:r>
        <w:rPr>
          <w:rFonts w:hint="default" w:ascii="仿宋" w:hAnsi="仿宋" w:eastAsia="仿宋" w:cs="仿宋"/>
          <w:b w:val="0"/>
          <w:bCs w:val="0"/>
          <w:kern w:val="2"/>
          <w:sz w:val="32"/>
          <w:szCs w:val="32"/>
          <w:lang w:val="en-US" w:eastAsia="zh-CN" w:bidi="ar-SA"/>
        </w:rPr>
        <w:t>。</w:t>
      </w:r>
    </w:p>
    <w:p w14:paraId="403402E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2）人均补助金额成本(元)，</w:t>
      </w:r>
      <w:r>
        <w:rPr>
          <w:rFonts w:hint="default" w:ascii="仿宋" w:hAnsi="仿宋" w:eastAsia="仿宋" w:cs="仿宋"/>
          <w:b w:val="0"/>
          <w:bCs w:val="0"/>
          <w:kern w:val="2"/>
          <w:sz w:val="32"/>
          <w:szCs w:val="32"/>
          <w:lang w:val="en-US" w:eastAsia="zh-CN" w:bidi="ar-SA"/>
        </w:rPr>
        <w:t>目标值</w:t>
      </w:r>
      <w:r>
        <w:rPr>
          <w:rFonts w:hint="eastAsia" w:ascii="仿宋" w:hAnsi="仿宋" w:eastAsia="仿宋" w:cs="仿宋"/>
          <w:b w:val="0"/>
          <w:bCs w:val="0"/>
          <w:kern w:val="2"/>
          <w:sz w:val="32"/>
          <w:szCs w:val="32"/>
          <w:lang w:val="en-US" w:eastAsia="zh-CN" w:bidi="ar-SA"/>
        </w:rPr>
        <w:t>5400</w:t>
      </w:r>
      <w:r>
        <w:rPr>
          <w:rFonts w:hint="default" w:ascii="仿宋" w:hAnsi="仿宋" w:eastAsia="仿宋" w:cs="仿宋"/>
          <w:b w:val="0"/>
          <w:bCs w:val="0"/>
          <w:kern w:val="2"/>
          <w:sz w:val="32"/>
          <w:szCs w:val="32"/>
          <w:lang w:val="en-US" w:eastAsia="zh-CN" w:bidi="ar-SA"/>
        </w:rPr>
        <w:t>，完成值</w:t>
      </w:r>
      <w:r>
        <w:rPr>
          <w:rFonts w:hint="eastAsia" w:ascii="仿宋" w:hAnsi="仿宋" w:eastAsia="仿宋" w:cs="仿宋"/>
          <w:b w:val="0"/>
          <w:bCs w:val="0"/>
          <w:kern w:val="2"/>
          <w:sz w:val="32"/>
          <w:szCs w:val="32"/>
          <w:lang w:val="en-US" w:eastAsia="zh-CN" w:bidi="ar-SA"/>
        </w:rPr>
        <w:t>9</w:t>
      </w:r>
      <w:r>
        <w:rPr>
          <w:rFonts w:hint="default" w:ascii="仿宋" w:hAnsi="仿宋" w:eastAsia="仿宋" w:cs="仿宋"/>
          <w:b w:val="0"/>
          <w:bCs w:val="0"/>
          <w:kern w:val="2"/>
          <w:sz w:val="32"/>
          <w:szCs w:val="32"/>
          <w:lang w:val="en-US" w:eastAsia="zh-CN" w:bidi="ar-SA"/>
        </w:rPr>
        <w:t>，分值</w:t>
      </w:r>
      <w:r>
        <w:rPr>
          <w:rFonts w:hint="eastAsia" w:ascii="仿宋" w:hAnsi="仿宋" w:eastAsia="仿宋" w:cs="仿宋"/>
          <w:b w:val="0"/>
          <w:bCs w:val="0"/>
          <w:kern w:val="2"/>
          <w:sz w:val="32"/>
          <w:szCs w:val="32"/>
          <w:lang w:val="en-US" w:eastAsia="zh-CN" w:bidi="ar-SA"/>
        </w:rPr>
        <w:t>5</w:t>
      </w:r>
      <w:r>
        <w:rPr>
          <w:rFonts w:hint="default" w:ascii="仿宋" w:hAnsi="仿宋" w:eastAsia="仿宋" w:cs="仿宋"/>
          <w:b w:val="0"/>
          <w:bCs w:val="0"/>
          <w:kern w:val="2"/>
          <w:sz w:val="32"/>
          <w:szCs w:val="32"/>
          <w:lang w:val="en-US" w:eastAsia="zh-CN" w:bidi="ar-SA"/>
        </w:rPr>
        <w:t>，得分</w:t>
      </w:r>
      <w:r>
        <w:rPr>
          <w:rFonts w:hint="eastAsia" w:ascii="仿宋" w:hAnsi="仿宋" w:eastAsia="仿宋" w:cs="仿宋"/>
          <w:b w:val="0"/>
          <w:bCs w:val="0"/>
          <w:kern w:val="2"/>
          <w:sz w:val="32"/>
          <w:szCs w:val="32"/>
          <w:lang w:val="en-US" w:eastAsia="zh-CN" w:bidi="ar-SA"/>
        </w:rPr>
        <w:t>5</w:t>
      </w:r>
      <w:r>
        <w:rPr>
          <w:rFonts w:hint="default" w:ascii="仿宋" w:hAnsi="仿宋" w:eastAsia="仿宋" w:cs="仿宋"/>
          <w:b w:val="0"/>
          <w:bCs w:val="0"/>
          <w:kern w:val="2"/>
          <w:sz w:val="32"/>
          <w:szCs w:val="32"/>
          <w:lang w:val="en-US" w:eastAsia="zh-CN" w:bidi="ar-SA"/>
        </w:rPr>
        <w:t>。</w:t>
      </w:r>
    </w:p>
    <w:p w14:paraId="004E80A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2.效益指标完成情况</w:t>
      </w:r>
    </w:p>
    <w:p w14:paraId="4279D7F7">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（5）社会效益指标</w:t>
      </w:r>
    </w:p>
    <w:p w14:paraId="1F32AED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1）提高被审计单位的管理水平，</w:t>
      </w:r>
      <w:r>
        <w:rPr>
          <w:rFonts w:hint="default" w:ascii="仿宋" w:hAnsi="仿宋" w:eastAsia="仿宋" w:cs="仿宋"/>
          <w:b w:val="0"/>
          <w:bCs w:val="0"/>
          <w:kern w:val="2"/>
          <w:sz w:val="32"/>
          <w:szCs w:val="32"/>
          <w:lang w:val="en-US" w:eastAsia="zh-CN" w:bidi="ar-SA"/>
        </w:rPr>
        <w:t>目标值</w:t>
      </w:r>
      <w:r>
        <w:rPr>
          <w:rFonts w:hint="eastAsia" w:ascii="仿宋" w:hAnsi="仿宋" w:eastAsia="仿宋" w:cs="仿宋"/>
          <w:b w:val="0"/>
          <w:bCs w:val="0"/>
          <w:kern w:val="2"/>
          <w:sz w:val="32"/>
          <w:szCs w:val="32"/>
          <w:lang w:val="en-US" w:eastAsia="zh-CN" w:bidi="ar-SA"/>
        </w:rPr>
        <w:t>有效提高</w:t>
      </w:r>
      <w:r>
        <w:rPr>
          <w:rFonts w:hint="default" w:ascii="仿宋" w:hAnsi="仿宋" w:eastAsia="仿宋" w:cs="仿宋"/>
          <w:b w:val="0"/>
          <w:bCs w:val="0"/>
          <w:kern w:val="2"/>
          <w:sz w:val="32"/>
          <w:szCs w:val="32"/>
          <w:lang w:val="en-US" w:eastAsia="zh-CN" w:bidi="ar-SA"/>
        </w:rPr>
        <w:t>，完成值</w:t>
      </w:r>
      <w:r>
        <w:rPr>
          <w:rFonts w:hint="eastAsia" w:ascii="仿宋" w:hAnsi="仿宋" w:eastAsia="仿宋" w:cs="仿宋"/>
          <w:b w:val="0"/>
          <w:bCs w:val="0"/>
          <w:kern w:val="2"/>
          <w:sz w:val="32"/>
          <w:szCs w:val="32"/>
          <w:lang w:val="en-US" w:eastAsia="zh-CN" w:bidi="ar-SA"/>
        </w:rPr>
        <w:t>9</w:t>
      </w:r>
      <w:r>
        <w:rPr>
          <w:rFonts w:hint="default" w:ascii="仿宋" w:hAnsi="仿宋" w:eastAsia="仿宋" w:cs="仿宋"/>
          <w:b w:val="0"/>
          <w:bCs w:val="0"/>
          <w:kern w:val="2"/>
          <w:sz w:val="32"/>
          <w:szCs w:val="32"/>
          <w:lang w:val="en-US" w:eastAsia="zh-CN" w:bidi="ar-SA"/>
        </w:rPr>
        <w:t>，分值</w:t>
      </w:r>
      <w:r>
        <w:rPr>
          <w:rFonts w:hint="eastAsia" w:ascii="仿宋" w:hAnsi="仿宋" w:eastAsia="仿宋" w:cs="仿宋"/>
          <w:b w:val="0"/>
          <w:bCs w:val="0"/>
          <w:kern w:val="2"/>
          <w:sz w:val="32"/>
          <w:szCs w:val="32"/>
          <w:lang w:val="en-US" w:eastAsia="zh-CN" w:bidi="ar-SA"/>
        </w:rPr>
        <w:t>15</w:t>
      </w:r>
      <w:r>
        <w:rPr>
          <w:rFonts w:hint="default" w:ascii="仿宋" w:hAnsi="仿宋" w:eastAsia="仿宋" w:cs="仿宋"/>
          <w:b w:val="0"/>
          <w:bCs w:val="0"/>
          <w:kern w:val="2"/>
          <w:sz w:val="32"/>
          <w:szCs w:val="32"/>
          <w:lang w:val="en-US" w:eastAsia="zh-CN" w:bidi="ar-SA"/>
        </w:rPr>
        <w:t>，得分</w:t>
      </w:r>
      <w:r>
        <w:rPr>
          <w:rFonts w:hint="eastAsia" w:ascii="仿宋" w:hAnsi="仿宋" w:eastAsia="仿宋" w:cs="仿宋"/>
          <w:b w:val="0"/>
          <w:bCs w:val="0"/>
          <w:kern w:val="2"/>
          <w:sz w:val="32"/>
          <w:szCs w:val="32"/>
          <w:lang w:val="en-US" w:eastAsia="zh-CN" w:bidi="ar-SA"/>
        </w:rPr>
        <w:t>15</w:t>
      </w:r>
      <w:r>
        <w:rPr>
          <w:rFonts w:hint="default" w:ascii="仿宋" w:hAnsi="仿宋" w:eastAsia="仿宋" w:cs="仿宋"/>
          <w:b w:val="0"/>
          <w:bCs w:val="0"/>
          <w:kern w:val="2"/>
          <w:sz w:val="32"/>
          <w:szCs w:val="32"/>
          <w:lang w:val="en-US" w:eastAsia="zh-CN" w:bidi="ar-SA"/>
        </w:rPr>
        <w:t>。</w:t>
      </w:r>
    </w:p>
    <w:p w14:paraId="1ABC8A9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（6）可持续影响指标</w:t>
      </w:r>
    </w:p>
    <w:p w14:paraId="0CCF3F0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1）提高被审计单位业务的合法合规性，</w:t>
      </w:r>
      <w:r>
        <w:rPr>
          <w:rFonts w:hint="default" w:ascii="仿宋" w:hAnsi="仿宋" w:eastAsia="仿宋" w:cs="仿宋"/>
          <w:b w:val="0"/>
          <w:bCs w:val="0"/>
          <w:kern w:val="2"/>
          <w:sz w:val="32"/>
          <w:szCs w:val="32"/>
          <w:lang w:val="en-US" w:eastAsia="zh-CN" w:bidi="ar-SA"/>
        </w:rPr>
        <w:t>目标值</w:t>
      </w:r>
      <w:r>
        <w:rPr>
          <w:rFonts w:hint="eastAsia" w:ascii="仿宋" w:hAnsi="仿宋" w:eastAsia="仿宋" w:cs="仿宋"/>
          <w:b w:val="0"/>
          <w:bCs w:val="0"/>
          <w:kern w:val="2"/>
          <w:sz w:val="32"/>
          <w:szCs w:val="32"/>
          <w:lang w:val="en-US" w:eastAsia="zh-CN" w:bidi="ar-SA"/>
        </w:rPr>
        <w:t>显著提高</w:t>
      </w:r>
      <w:r>
        <w:rPr>
          <w:rFonts w:hint="default" w:ascii="仿宋" w:hAnsi="仿宋" w:eastAsia="仿宋" w:cs="仿宋"/>
          <w:b w:val="0"/>
          <w:bCs w:val="0"/>
          <w:kern w:val="2"/>
          <w:sz w:val="32"/>
          <w:szCs w:val="32"/>
          <w:lang w:val="en-US" w:eastAsia="zh-CN" w:bidi="ar-SA"/>
        </w:rPr>
        <w:t>，完成值</w:t>
      </w:r>
      <w:r>
        <w:rPr>
          <w:rFonts w:hint="eastAsia" w:ascii="仿宋" w:hAnsi="仿宋" w:eastAsia="仿宋" w:cs="仿宋"/>
          <w:b w:val="0"/>
          <w:bCs w:val="0"/>
          <w:kern w:val="2"/>
          <w:sz w:val="32"/>
          <w:szCs w:val="32"/>
          <w:lang w:val="en-US" w:eastAsia="zh-CN" w:bidi="ar-SA"/>
        </w:rPr>
        <w:t>9</w:t>
      </w:r>
      <w:r>
        <w:rPr>
          <w:rFonts w:hint="default" w:ascii="仿宋" w:hAnsi="仿宋" w:eastAsia="仿宋" w:cs="仿宋"/>
          <w:b w:val="0"/>
          <w:bCs w:val="0"/>
          <w:kern w:val="2"/>
          <w:sz w:val="32"/>
          <w:szCs w:val="32"/>
          <w:lang w:val="en-US" w:eastAsia="zh-CN" w:bidi="ar-SA"/>
        </w:rPr>
        <w:t>，分值</w:t>
      </w:r>
      <w:r>
        <w:rPr>
          <w:rFonts w:hint="eastAsia" w:ascii="仿宋" w:hAnsi="仿宋" w:eastAsia="仿宋" w:cs="仿宋"/>
          <w:b w:val="0"/>
          <w:bCs w:val="0"/>
          <w:kern w:val="2"/>
          <w:sz w:val="32"/>
          <w:szCs w:val="32"/>
          <w:lang w:val="en-US" w:eastAsia="zh-CN" w:bidi="ar-SA"/>
        </w:rPr>
        <w:t>15</w:t>
      </w:r>
      <w:r>
        <w:rPr>
          <w:rFonts w:hint="default" w:ascii="仿宋" w:hAnsi="仿宋" w:eastAsia="仿宋" w:cs="仿宋"/>
          <w:b w:val="0"/>
          <w:bCs w:val="0"/>
          <w:kern w:val="2"/>
          <w:sz w:val="32"/>
          <w:szCs w:val="32"/>
          <w:lang w:val="en-US" w:eastAsia="zh-CN" w:bidi="ar-SA"/>
        </w:rPr>
        <w:t>，得分</w:t>
      </w:r>
      <w:r>
        <w:rPr>
          <w:rFonts w:hint="eastAsia" w:ascii="仿宋" w:hAnsi="仿宋" w:eastAsia="仿宋" w:cs="仿宋"/>
          <w:b w:val="0"/>
          <w:bCs w:val="0"/>
          <w:kern w:val="2"/>
          <w:sz w:val="32"/>
          <w:szCs w:val="32"/>
          <w:lang w:val="en-US" w:eastAsia="zh-CN" w:bidi="ar-SA"/>
        </w:rPr>
        <w:t>15</w:t>
      </w:r>
      <w:r>
        <w:rPr>
          <w:rFonts w:hint="default" w:ascii="仿宋" w:hAnsi="仿宋" w:eastAsia="仿宋" w:cs="仿宋"/>
          <w:b w:val="0"/>
          <w:bCs w:val="0"/>
          <w:kern w:val="2"/>
          <w:sz w:val="32"/>
          <w:szCs w:val="32"/>
          <w:lang w:val="en-US" w:eastAsia="zh-CN" w:bidi="ar-SA"/>
        </w:rPr>
        <w:t>。</w:t>
      </w:r>
    </w:p>
    <w:p w14:paraId="4BF12DE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3.满意度指标完成情况</w:t>
      </w:r>
    </w:p>
    <w:p w14:paraId="1D2E8D1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（7）服务对象满意度指标</w:t>
      </w:r>
    </w:p>
    <w:p w14:paraId="0A56870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1）审计人员对业务补助金额满意度(%)，</w:t>
      </w:r>
      <w:r>
        <w:rPr>
          <w:rFonts w:hint="default" w:ascii="仿宋" w:hAnsi="仿宋" w:eastAsia="仿宋" w:cs="仿宋"/>
          <w:b w:val="0"/>
          <w:bCs w:val="0"/>
          <w:kern w:val="2"/>
          <w:sz w:val="32"/>
          <w:szCs w:val="32"/>
          <w:lang w:val="en-US" w:eastAsia="zh-CN" w:bidi="ar-SA"/>
        </w:rPr>
        <w:t>目标值</w:t>
      </w:r>
      <w:r>
        <w:rPr>
          <w:rFonts w:hint="eastAsia" w:ascii="仿宋" w:hAnsi="仿宋" w:eastAsia="仿宋" w:cs="仿宋"/>
          <w:b w:val="0"/>
          <w:bCs w:val="0"/>
          <w:kern w:val="2"/>
          <w:sz w:val="32"/>
          <w:szCs w:val="32"/>
          <w:lang w:val="en-US" w:eastAsia="zh-CN" w:bidi="ar-SA"/>
        </w:rPr>
        <w:t>95</w:t>
      </w:r>
      <w:r>
        <w:rPr>
          <w:rFonts w:hint="default" w:ascii="仿宋" w:hAnsi="仿宋" w:eastAsia="仿宋" w:cs="仿宋"/>
          <w:b w:val="0"/>
          <w:bCs w:val="0"/>
          <w:kern w:val="2"/>
          <w:sz w:val="32"/>
          <w:szCs w:val="32"/>
          <w:lang w:val="en-US" w:eastAsia="zh-CN" w:bidi="ar-SA"/>
        </w:rPr>
        <w:t>，完成值</w:t>
      </w:r>
      <w:r>
        <w:rPr>
          <w:rFonts w:hint="eastAsia" w:ascii="仿宋" w:hAnsi="仿宋" w:eastAsia="仿宋" w:cs="仿宋"/>
          <w:b w:val="0"/>
          <w:bCs w:val="0"/>
          <w:kern w:val="2"/>
          <w:sz w:val="32"/>
          <w:szCs w:val="32"/>
          <w:lang w:val="en-US" w:eastAsia="zh-CN" w:bidi="ar-SA"/>
        </w:rPr>
        <w:t>9</w:t>
      </w:r>
      <w:r>
        <w:rPr>
          <w:rFonts w:hint="default" w:ascii="仿宋" w:hAnsi="仿宋" w:eastAsia="仿宋" w:cs="仿宋"/>
          <w:b w:val="0"/>
          <w:bCs w:val="0"/>
          <w:kern w:val="2"/>
          <w:sz w:val="32"/>
          <w:szCs w:val="32"/>
          <w:lang w:val="en-US" w:eastAsia="zh-CN" w:bidi="ar-SA"/>
        </w:rPr>
        <w:t>，分值</w:t>
      </w:r>
      <w:r>
        <w:rPr>
          <w:rFonts w:hint="eastAsia" w:ascii="仿宋" w:hAnsi="仿宋" w:eastAsia="仿宋" w:cs="仿宋"/>
          <w:b w:val="0"/>
          <w:bCs w:val="0"/>
          <w:kern w:val="2"/>
          <w:sz w:val="32"/>
          <w:szCs w:val="32"/>
          <w:lang w:val="en-US" w:eastAsia="zh-CN" w:bidi="ar-SA"/>
        </w:rPr>
        <w:t>10</w:t>
      </w:r>
      <w:r>
        <w:rPr>
          <w:rFonts w:hint="default" w:ascii="仿宋" w:hAnsi="仿宋" w:eastAsia="仿宋" w:cs="仿宋"/>
          <w:b w:val="0"/>
          <w:bCs w:val="0"/>
          <w:kern w:val="2"/>
          <w:sz w:val="32"/>
          <w:szCs w:val="32"/>
          <w:lang w:val="en-US" w:eastAsia="zh-CN" w:bidi="ar-SA"/>
        </w:rPr>
        <w:t>，得分</w:t>
      </w:r>
      <w:r>
        <w:rPr>
          <w:rFonts w:hint="eastAsia" w:ascii="仿宋" w:hAnsi="仿宋" w:eastAsia="仿宋" w:cs="仿宋"/>
          <w:b w:val="0"/>
          <w:bCs w:val="0"/>
          <w:kern w:val="2"/>
          <w:sz w:val="32"/>
          <w:szCs w:val="32"/>
          <w:lang w:val="en-US" w:eastAsia="zh-CN" w:bidi="ar-SA"/>
        </w:rPr>
        <w:t>10</w:t>
      </w:r>
      <w:r>
        <w:rPr>
          <w:rFonts w:hint="default" w:ascii="仿宋" w:hAnsi="仿宋" w:eastAsia="仿宋" w:cs="仿宋"/>
          <w:b w:val="0"/>
          <w:bCs w:val="0"/>
          <w:kern w:val="2"/>
          <w:sz w:val="32"/>
          <w:szCs w:val="32"/>
          <w:lang w:val="en-US" w:eastAsia="zh-CN" w:bidi="ar-SA"/>
        </w:rPr>
        <w:t>。</w:t>
      </w:r>
    </w:p>
    <w:p w14:paraId="7551B60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4. 自评得分情况</w:t>
      </w:r>
    </w:p>
    <w:p w14:paraId="7C6BA7D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default" w:ascii="仿宋" w:hAnsi="仿宋" w:eastAsia="仿宋" w:cs="仿宋"/>
          <w:b w:val="0"/>
          <w:bCs w:val="0"/>
          <w:kern w:val="2"/>
          <w:sz w:val="32"/>
          <w:szCs w:val="32"/>
          <w:lang w:val="en-US" w:eastAsia="zh-CN" w:bidi="ar-SA"/>
        </w:rPr>
        <w:t>本项目绩效自评得分</w:t>
      </w:r>
      <w:r>
        <w:rPr>
          <w:rFonts w:hint="eastAsia" w:ascii="仿宋" w:hAnsi="仿宋" w:eastAsia="仿宋" w:cs="仿宋"/>
          <w:b w:val="0"/>
          <w:bCs w:val="0"/>
          <w:kern w:val="2"/>
          <w:sz w:val="32"/>
          <w:szCs w:val="32"/>
          <w:lang w:val="en-US" w:eastAsia="zh-CN" w:bidi="ar-SA"/>
        </w:rPr>
        <w:t>100</w:t>
      </w:r>
      <w:r>
        <w:rPr>
          <w:rFonts w:hint="default" w:ascii="仿宋" w:hAnsi="仿宋" w:eastAsia="仿宋" w:cs="仿宋"/>
          <w:b w:val="0"/>
          <w:bCs w:val="0"/>
          <w:kern w:val="2"/>
          <w:sz w:val="32"/>
          <w:szCs w:val="32"/>
          <w:lang w:val="en-US" w:eastAsia="zh-CN" w:bidi="ar-SA"/>
        </w:rPr>
        <w:t>分，等级为</w:t>
      </w:r>
      <w:r>
        <w:rPr>
          <w:rFonts w:hint="eastAsia" w:ascii="仿宋" w:hAnsi="仿宋" w:eastAsia="仿宋" w:cs="仿宋"/>
          <w:b w:val="0"/>
          <w:bCs w:val="0"/>
          <w:kern w:val="2"/>
          <w:sz w:val="32"/>
          <w:szCs w:val="32"/>
          <w:lang w:val="en-US" w:eastAsia="zh-CN" w:bidi="ar-SA"/>
        </w:rPr>
        <w:t>优</w:t>
      </w:r>
      <w:r>
        <w:rPr>
          <w:rFonts w:hint="default" w:ascii="仿宋" w:hAnsi="仿宋" w:eastAsia="仿宋" w:cs="仿宋"/>
          <w:b w:val="0"/>
          <w:bCs w:val="0"/>
          <w:kern w:val="2"/>
          <w:sz w:val="32"/>
          <w:szCs w:val="32"/>
          <w:lang w:val="en-US" w:eastAsia="zh-CN" w:bidi="ar-SA"/>
        </w:rPr>
        <w:t>。</w:t>
      </w:r>
    </w:p>
    <w:p w14:paraId="1CD90698">
      <w:pPr>
        <w:pStyle w:val="2"/>
        <w:numPr>
          <w:ilvl w:val="0"/>
          <w:numId w:val="0"/>
        </w:numPr>
        <w:bidi w:val="0"/>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四、偏离绩效目标的原因和下一步改进措施</w:t>
      </w:r>
      <w:r>
        <w:rPr>
          <w:rFonts w:hint="default" w:ascii="仿宋" w:hAnsi="仿宋" w:eastAsia="仿宋" w:cs="仿宋"/>
          <w:b w:val="0"/>
          <w:bCs w:val="0"/>
          <w:kern w:val="2"/>
          <w:sz w:val="32"/>
          <w:szCs w:val="32"/>
          <w:lang w:val="en-US" w:eastAsia="zh-CN" w:bidi="ar-SA"/>
        </w:rPr>
        <w:t xml:space="preserve">  </w:t>
      </w:r>
    </w:p>
    <w:p w14:paraId="32E7819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仿宋" w:hAnsi="仿宋" w:eastAsia="仿宋" w:cs="仿宋"/>
          <w:b w:val="0"/>
          <w:bCs w:val="0"/>
          <w:kern w:val="2"/>
          <w:sz w:val="32"/>
          <w:szCs w:val="32"/>
          <w:lang w:val="en-US" w:eastAsia="zh-CN" w:bidi="ar-SA"/>
        </w:rPr>
      </w:pPr>
      <w:r>
        <w:rPr>
          <w:rFonts w:hint="default" w:ascii="仿宋" w:hAnsi="仿宋" w:eastAsia="仿宋" w:cs="仿宋"/>
          <w:b w:val="0"/>
          <w:bCs w:val="0"/>
          <w:kern w:val="2"/>
          <w:sz w:val="32"/>
          <w:szCs w:val="32"/>
          <w:lang w:val="en-US" w:eastAsia="zh-CN" w:bidi="ar-SA"/>
        </w:rPr>
        <w:t>（一）项目立项、实施存在问题。</w:t>
      </w:r>
    </w:p>
    <w:p w14:paraId="448DF7E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仿宋" w:hAnsi="仿宋" w:eastAsia="仿宋" w:cs="仿宋"/>
          <w:b w:val="0"/>
          <w:bCs w:val="0"/>
          <w:kern w:val="2"/>
          <w:sz w:val="32"/>
          <w:szCs w:val="32"/>
          <w:lang w:val="en-US" w:eastAsia="zh-CN" w:bidi="ar-SA"/>
        </w:rPr>
      </w:pPr>
      <w:r>
        <w:rPr>
          <w:rFonts w:hint="default" w:ascii="仿宋" w:hAnsi="仿宋" w:eastAsia="仿宋" w:cs="仿宋"/>
          <w:b w:val="0"/>
          <w:bCs w:val="0"/>
          <w:kern w:val="2"/>
          <w:sz w:val="32"/>
          <w:szCs w:val="32"/>
          <w:lang w:val="en-US" w:eastAsia="zh-CN" w:bidi="ar-SA"/>
        </w:rPr>
        <w:t>（二）资金管理使用存在问题</w:t>
      </w:r>
    </w:p>
    <w:p w14:paraId="4209229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1"/>
        <w:rPr>
          <w:rFonts w:hint="default" w:ascii="仿宋" w:hAnsi="仿宋" w:eastAsia="仿宋" w:cs="仿宋"/>
          <w:b w:val="0"/>
          <w:bCs w:val="0"/>
          <w:kern w:val="2"/>
          <w:sz w:val="32"/>
          <w:szCs w:val="32"/>
          <w:lang w:val="en-US" w:eastAsia="zh-CN" w:bidi="ar-SA"/>
        </w:rPr>
      </w:pPr>
      <w:r>
        <w:rPr>
          <w:rFonts w:hint="default" w:ascii="仿宋" w:hAnsi="仿宋" w:eastAsia="仿宋" w:cs="仿宋"/>
          <w:b w:val="0"/>
          <w:bCs w:val="0"/>
          <w:kern w:val="2"/>
          <w:sz w:val="32"/>
          <w:szCs w:val="32"/>
          <w:lang w:val="en-US" w:eastAsia="zh-CN" w:bidi="ar-SA"/>
        </w:rPr>
        <w:t>（</w:t>
      </w:r>
      <w:r>
        <w:rPr>
          <w:rFonts w:hint="eastAsia" w:ascii="仿宋" w:hAnsi="仿宋" w:eastAsia="仿宋" w:cs="仿宋"/>
          <w:b w:val="0"/>
          <w:bCs w:val="0"/>
          <w:kern w:val="2"/>
          <w:sz w:val="32"/>
          <w:szCs w:val="32"/>
          <w:lang w:val="en-US" w:eastAsia="zh-CN" w:bidi="ar-SA"/>
        </w:rPr>
        <w:t>三</w:t>
      </w:r>
      <w:r>
        <w:rPr>
          <w:rFonts w:hint="default" w:ascii="仿宋" w:hAnsi="仿宋" w:eastAsia="仿宋" w:cs="仿宋"/>
          <w:b w:val="0"/>
          <w:bCs w:val="0"/>
          <w:kern w:val="2"/>
          <w:sz w:val="32"/>
          <w:szCs w:val="32"/>
          <w:lang w:val="en-US" w:eastAsia="zh-CN" w:bidi="ar-SA"/>
        </w:rPr>
        <w:t>）措施及办法</w:t>
      </w:r>
    </w:p>
    <w:p w14:paraId="063CA320">
      <w:pPr>
        <w:pStyle w:val="2"/>
        <w:numPr>
          <w:ilvl w:val="0"/>
          <w:numId w:val="0"/>
        </w:numPr>
        <w:bidi w:val="0"/>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五、绩效自评结果拟应用和公开情况</w:t>
      </w:r>
    </w:p>
    <w:p w14:paraId="28A9E70D">
      <w:pPr>
        <w:keepNext w:val="0"/>
        <w:keepLines w:val="0"/>
        <w:pageBreakBefore w:val="0"/>
        <w:widowControl w:val="0"/>
        <w:kinsoku/>
        <w:wordWrap/>
        <w:overflowPunct/>
        <w:topLinePunct/>
        <w:autoSpaceDE/>
        <w:autoSpaceDN/>
        <w:bidi w:val="0"/>
        <w:adjustRightInd/>
        <w:snapToGrid/>
        <w:spacing w:line="580" w:lineRule="exact"/>
        <w:ind w:left="0" w:leftChars="0" w:right="0" w:rightChars="0" w:firstLine="640" w:firstLineChars="200"/>
        <w:jc w:val="both"/>
        <w:textAlignment w:val="auto"/>
        <w:outlineLvl w:val="9"/>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自评结果拟应用情况：自评结果将作为下年度项目预算编制、资金分配、新增立项的重要依据。针对自评发现的管理漏洞、执行偏差、制定整改清单、明确责任和时限，结果作为部门年度预算编制、资金统筹、支出结构调整的核心依据。公开情况：完成自评、审核、复核后，按程序报批后公开该项目的自评核心结论、成效、问题及改进措施，严格执行保密规定，涉及内部管理信息不予公开，接受监督。</w:t>
      </w:r>
    </w:p>
    <w:p w14:paraId="4B8EE867">
      <w:pPr>
        <w:pStyle w:val="2"/>
        <w:bidi w:val="0"/>
        <w:rPr>
          <w:rFonts w:hint="default"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六、其他需要说明的问题</w:t>
      </w:r>
    </w:p>
    <w:p w14:paraId="2DED0D8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b w:val="0"/>
          <w:bCs w:val="0"/>
          <w:kern w:val="2"/>
          <w:sz w:val="32"/>
          <w:szCs w:val="32"/>
          <w:lang w:val="en-US" w:eastAsia="zh-CN" w:bidi="ar-SA"/>
        </w:rPr>
      </w:pPr>
      <w:r>
        <w:rPr>
          <w:rFonts w:hint="eastAsia" w:ascii="仿宋" w:hAnsi="仿宋" w:eastAsia="仿宋" w:cs="仿宋"/>
          <w:b w:val="0"/>
          <w:bCs w:val="0"/>
          <w:kern w:val="2"/>
          <w:sz w:val="32"/>
          <w:szCs w:val="32"/>
          <w:lang w:val="en-US" w:eastAsia="zh-CN" w:bidi="ar-SA"/>
        </w:rPr>
        <w:t>无</w:t>
      </w:r>
    </w:p>
    <w:p w14:paraId="5E11CD51">
      <w:pPr>
        <w:pStyle w:val="28"/>
        <w:widowControl/>
        <w:spacing w:before="240" w:after="240"/>
        <w:ind w:firstLine="643"/>
        <w:jc w:val="left"/>
        <w:rPr>
          <w:rFonts w:ascii="Times New Roman" w:hAnsi="Times New Roman" w:eastAsia="Times New Roman" w:cs="Times New Roman"/>
          <w:kern w:val="0"/>
          <w:sz w:val="24"/>
        </w:rPr>
      </w:pPr>
      <w:r>
        <w:rPr>
          <w:rFonts w:ascii="楷体" w:hAnsi="楷体" w:eastAsia="楷体" w:cs="楷体"/>
          <w:b/>
          <w:bCs/>
          <w:kern w:val="0"/>
          <w:sz w:val="32"/>
          <w:szCs w:val="32"/>
        </w:rPr>
        <w:t>（四）部门预算绩效管理制度和核心绩效指标标准体系建设情况。</w:t>
      </w:r>
    </w:p>
    <w:p w14:paraId="66037B0C">
      <w:pPr>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xml:space="preserve">预算绩效管理制度及核心绩效指标标准体系建设情况： </w:t>
      </w:r>
    </w:p>
    <w:p w14:paraId="59C7D500">
      <w:pPr>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 xml:space="preserve">严格落实全面实施预算绩效管理要求，健全本单位预算绩效管理制度，完善绩效目标设定、绩效运行监控、绩效评价、结果应用全流程管理机制。规范绩效目标编审，做到绩效目标与预算同步申报、同步审核、同步下达，强化预算执行过程动态监控，及时纠偏执行偏差。 </w:t>
      </w:r>
    </w:p>
    <w:p w14:paraId="18432603">
      <w:pPr>
        <w:ind w:firstLine="640" w:firstLineChars="200"/>
        <w:rPr>
          <w:rFonts w:hint="eastAsia" w:ascii="FangSong_GB2312" w:hAnsi="FangSong_GB2312" w:eastAsia="FangSong_GB2312" w:cs="FangSong_GB2312"/>
          <w:kern w:val="0"/>
          <w:sz w:val="32"/>
          <w:szCs w:val="32"/>
          <w:lang w:val="en-US" w:eastAsia="zh-CN" w:bidi="ar-SA"/>
        </w:rPr>
      </w:pPr>
      <w:r>
        <w:rPr>
          <w:rFonts w:hint="eastAsia" w:ascii="FangSong_GB2312" w:hAnsi="FangSong_GB2312" w:eastAsia="FangSong_GB2312" w:cs="FangSong_GB2312"/>
          <w:kern w:val="0"/>
          <w:sz w:val="32"/>
          <w:szCs w:val="32"/>
          <w:lang w:val="en-US" w:eastAsia="zh-CN" w:bidi="ar-SA"/>
        </w:rPr>
        <w:t>稳步推进核心绩效指标标准体系建设。围绕单位履职职能，梳理业务项目，分类设置绩效指标，细化产出指标、效益指标、满意度指标，指标设置力求科学、可衡量、可考核。不断优化指标框架，逐步建立适合本单位的绩效指标库。</w:t>
      </w:r>
    </w:p>
    <w:p w14:paraId="0573294B">
      <w:pPr>
        <w:ind w:firstLine="640" w:firstLineChars="200"/>
        <w:rPr>
          <w:rFonts w:ascii="Times New Roman" w:hAnsi="Times New Roman" w:eastAsia="Times New Roman" w:cs="Times New Roman"/>
          <w:kern w:val="0"/>
          <w:sz w:val="24"/>
        </w:rPr>
      </w:pPr>
      <w:r>
        <w:rPr>
          <w:rFonts w:hint="eastAsia" w:ascii="FangSong_GB2312" w:hAnsi="FangSong_GB2312" w:eastAsia="FangSong_GB2312" w:cs="FangSong_GB2312"/>
          <w:kern w:val="0"/>
          <w:sz w:val="32"/>
          <w:szCs w:val="32"/>
          <w:lang w:val="en-US" w:eastAsia="zh-CN" w:bidi="ar-SA"/>
        </w:rPr>
        <w:t>强化绩效评价结果运用，将绩效评价结果作为以后年度预算安排、项目调整的重要参考，压实绩效管理责任，树立“花钱必问效、无效必问责”的理念，持续提升财政资金使用效益。</w:t>
      </w:r>
    </w:p>
    <w:p w14:paraId="73E202F8">
      <w:pPr>
        <w:pStyle w:val="3"/>
        <w:keepNext w:val="0"/>
        <w:keepLines w:val="0"/>
        <w:widowControl/>
        <w:spacing w:before="0" w:after="0" w:line="360" w:lineRule="auto"/>
        <w:ind w:left="0" w:right="0"/>
        <w:jc w:val="center"/>
        <w:rPr>
          <w:rFonts w:ascii="Times New Roman" w:hAnsi="Times New Roman" w:eastAsia="Times New Roman" w:cs="Times New Roman"/>
          <w:b/>
          <w:bCs/>
          <w:kern w:val="0"/>
          <w:sz w:val="36"/>
          <w:szCs w:val="36"/>
        </w:rPr>
      </w:pPr>
      <w:r>
        <w:rPr>
          <w:rFonts w:ascii="方正小标宋简体" w:hAnsi="方正小标宋简体" w:eastAsia="方正小标宋简体" w:cs="方正小标宋简体"/>
          <w:kern w:val="0"/>
          <w:sz w:val="36"/>
          <w:szCs w:val="36"/>
        </w:rPr>
        <w:t>第三部分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方正小标宋简体" w:hAnsi="方正小标宋简体" w:eastAsia="方正小标宋简体" w:cs="方正小标宋简体"/>
          <w:kern w:val="0"/>
          <w:sz w:val="36"/>
          <w:szCs w:val="36"/>
        </w:rPr>
        <w:t>名词解释</w:t>
      </w:r>
    </w:p>
    <w:p w14:paraId="40958054">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一、财政拨款收入：</w:t>
      </w:r>
      <w:r>
        <w:rPr>
          <w:rFonts w:ascii="FangSong_GB2312" w:hAnsi="FangSong_GB2312" w:eastAsia="FangSong_GB2312" w:cs="FangSong_GB2312"/>
          <w:kern w:val="0"/>
          <w:sz w:val="32"/>
          <w:szCs w:val="32"/>
        </w:rPr>
        <w:t>从同级财政部门取得的各类财政拨款，包括一般公共预算财政拨款、政府性基金预算财政拨款、国有资本经营预算财政拨款。</w:t>
      </w:r>
    </w:p>
    <w:p w14:paraId="48C3E4FF">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二、上级补助收入：</w:t>
      </w:r>
      <w:r>
        <w:rPr>
          <w:rFonts w:ascii="FangSong_GB2312" w:hAnsi="FangSong_GB2312" w:eastAsia="FangSong_GB2312" w:cs="FangSong_GB2312"/>
          <w:kern w:val="0"/>
          <w:sz w:val="32"/>
          <w:szCs w:val="32"/>
        </w:rPr>
        <w:t>指事业单位从主管部门和上级单位取得的非财政补助收入。</w:t>
      </w:r>
    </w:p>
    <w:p w14:paraId="13667544">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三、事业收入：</w:t>
      </w:r>
      <w:r>
        <w:rPr>
          <w:rFonts w:ascii="FangSong_GB2312" w:hAnsi="FangSong_GB2312" w:eastAsia="FangSong_GB2312" w:cs="FangSong_GB2312"/>
          <w:kern w:val="0"/>
          <w:sz w:val="32"/>
          <w:szCs w:val="32"/>
        </w:rPr>
        <w:t>指事业单位开展专业业务活动及其辅助活动取得的收入。</w:t>
      </w:r>
    </w:p>
    <w:p w14:paraId="69A994BC">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四、经营收入：</w:t>
      </w:r>
      <w:r>
        <w:rPr>
          <w:rFonts w:ascii="FangSong_GB2312" w:hAnsi="FangSong_GB2312" w:eastAsia="FangSong_GB2312" w:cs="FangSong_GB2312"/>
          <w:kern w:val="0"/>
          <w:sz w:val="32"/>
          <w:szCs w:val="32"/>
        </w:rPr>
        <w:t>指事业单位在专业业务活动及其辅助活动之外开展非独立核算经营活动取得的收入。</w:t>
      </w:r>
    </w:p>
    <w:p w14:paraId="6A052BAD">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五、附属单位上缴收入：</w:t>
      </w:r>
      <w:r>
        <w:rPr>
          <w:rFonts w:ascii="FangSong_GB2312" w:hAnsi="FangSong_GB2312" w:eastAsia="FangSong_GB2312" w:cs="FangSong_GB2312"/>
          <w:kern w:val="0"/>
          <w:sz w:val="32"/>
          <w:szCs w:val="32"/>
        </w:rPr>
        <w:t>指事业单位取得附属独立核算单位按照有关规定上缴的收入。</w:t>
      </w:r>
    </w:p>
    <w:p w14:paraId="7A184464">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六、其他收入：</w:t>
      </w:r>
      <w:r>
        <w:rPr>
          <w:rFonts w:ascii="FangSong_GB2312" w:hAnsi="FangSong_GB2312" w:eastAsia="FangSong_GB2312" w:cs="FangSong_GB2312"/>
          <w:kern w:val="0"/>
          <w:sz w:val="32"/>
          <w:szCs w:val="32"/>
        </w:rPr>
        <w:t>取得的除上述财政拨款收入、上级补助收入、事业收入、经营收入、附属单位上缴收入等以外的各项收入。</w:t>
      </w:r>
    </w:p>
    <w:p w14:paraId="08B1274C">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七、使用非财政拨款结余（含专用结余）：</w:t>
      </w:r>
      <w:r>
        <w:rPr>
          <w:rFonts w:ascii="FangSong_GB2312" w:hAnsi="FangSong_GB2312" w:eastAsia="FangSong_GB2312" w:cs="FangSong_GB2312"/>
          <w:kern w:val="0"/>
          <w:sz w:val="32"/>
          <w:szCs w:val="32"/>
        </w:rPr>
        <w:t>指事业单位按照预算管理要求使用非财政拨款结余弥补收支差额的金额，以及使用专用结余安排支出的金额。</w:t>
      </w:r>
    </w:p>
    <w:p w14:paraId="403D7827">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八、年初结转和结余：</w:t>
      </w:r>
      <w:r>
        <w:rPr>
          <w:rFonts w:ascii="FangSong_GB2312" w:hAnsi="FangSong_GB2312" w:eastAsia="FangSong_GB2312" w:cs="FangSong_GB2312"/>
          <w:kern w:val="0"/>
          <w:sz w:val="32"/>
          <w:szCs w:val="32"/>
        </w:rPr>
        <w:t>指单位上年结转本年使用的基本支出结转、项目支出结转和结余、经营结余。</w:t>
      </w:r>
    </w:p>
    <w:p w14:paraId="4FB08C1C">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九、结余分配：</w:t>
      </w:r>
      <w:r>
        <w:rPr>
          <w:rFonts w:ascii="FangSong_GB2312" w:hAnsi="FangSong_GB2312" w:eastAsia="FangSong_GB2312" w:cs="FangSong_GB2312"/>
          <w:kern w:val="0"/>
          <w:sz w:val="32"/>
          <w:szCs w:val="32"/>
        </w:rPr>
        <w:t>指单位按规定缴纳企业所得税以及从非财政拨款结余或经营结余中提取各类结余的情况。</w:t>
      </w:r>
    </w:p>
    <w:p w14:paraId="253A6891">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十、年末结转和结余资金：</w:t>
      </w:r>
      <w:r>
        <w:rPr>
          <w:rFonts w:ascii="FangSong_GB2312" w:hAnsi="FangSong_GB2312" w:eastAsia="FangSong_GB2312" w:cs="FangSong_GB2312"/>
          <w:kern w:val="0"/>
          <w:sz w:val="32"/>
          <w:szCs w:val="32"/>
        </w:rPr>
        <w:t>指单位结转下年的基本支出结转、项目支出结转和结余、经营结余。</w:t>
      </w:r>
    </w:p>
    <w:p w14:paraId="3169C017">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十一、基本支出：</w:t>
      </w:r>
      <w:r>
        <w:rPr>
          <w:rFonts w:ascii="FangSong_GB2312" w:hAnsi="FangSong_GB2312" w:eastAsia="FangSong_GB2312" w:cs="FangSong_GB2312"/>
          <w:kern w:val="0"/>
          <w:sz w:val="32"/>
          <w:szCs w:val="32"/>
        </w:rPr>
        <w:t>指为保障机构正常运转、完成日常工作任务所发生的支出，包括人员经费和公用经费。</w:t>
      </w:r>
    </w:p>
    <w:p w14:paraId="080B8389">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color w:val="000000"/>
          <w:kern w:val="0"/>
          <w:sz w:val="32"/>
          <w:szCs w:val="32"/>
        </w:rPr>
        <w:t>十二、项目支出：</w:t>
      </w:r>
      <w:r>
        <w:rPr>
          <w:rFonts w:ascii="FangSong_GB2312" w:hAnsi="FangSong_GB2312" w:eastAsia="FangSong_GB2312" w:cs="FangSong_GB2312"/>
          <w:color w:val="000000"/>
          <w:kern w:val="0"/>
          <w:sz w:val="32"/>
          <w:szCs w:val="32"/>
        </w:rPr>
        <w:t>指单位为完成特定的行政工作任务或事业发展目标，在基本支出之外发生的各项支出。</w:t>
      </w:r>
    </w:p>
    <w:p w14:paraId="1C42EFEB">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十三、上缴上级支出：</w:t>
      </w:r>
      <w:r>
        <w:rPr>
          <w:rFonts w:ascii="FangSong_GB2312" w:hAnsi="FangSong_GB2312" w:eastAsia="FangSong_GB2312" w:cs="FangSong_GB2312"/>
          <w:kern w:val="0"/>
          <w:sz w:val="32"/>
          <w:szCs w:val="32"/>
        </w:rPr>
        <w:t>指事业单位按照财政部门和主管部门的规定上缴上级单位的支出。</w:t>
      </w:r>
    </w:p>
    <w:p w14:paraId="55019D7F">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十四、经营支出：</w:t>
      </w:r>
      <w:r>
        <w:rPr>
          <w:rFonts w:ascii="FangSong_GB2312" w:hAnsi="FangSong_GB2312" w:eastAsia="FangSong_GB2312" w:cs="FangSong_GB2312"/>
          <w:kern w:val="0"/>
          <w:sz w:val="32"/>
          <w:szCs w:val="32"/>
        </w:rPr>
        <w:t>指事业单位在专业业务活动及其辅助活动之外开展非独立核算经营活动发生的支出。</w:t>
      </w:r>
    </w:p>
    <w:p w14:paraId="51D872B2">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十五、对附属单位补助支出：</w:t>
      </w:r>
      <w:r>
        <w:rPr>
          <w:rFonts w:ascii="FangSong_GB2312" w:hAnsi="FangSong_GB2312" w:eastAsia="FangSong_GB2312" w:cs="FangSong_GB2312"/>
          <w:kern w:val="0"/>
          <w:sz w:val="32"/>
          <w:szCs w:val="32"/>
        </w:rPr>
        <w:t>指事业单位用财政拨款收入之外的收入对附属单位补助发生的支出。</w:t>
      </w:r>
    </w:p>
    <w:p w14:paraId="38CB87EA">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十六、“三公”经费：</w:t>
      </w:r>
      <w:r>
        <w:rPr>
          <w:rFonts w:ascii="FangSong_GB2312" w:hAnsi="FangSong_GB2312" w:eastAsia="FangSong_GB2312" w:cs="FangSong_GB2312"/>
          <w:kern w:val="0"/>
          <w:sz w:val="32"/>
          <w:szCs w:val="32"/>
        </w:rPr>
        <w:t>指部门用财政拨款安排的因公出国（境）费、公务用车购置及运行维护费和公务接待费。其中，因公出国（境）费反映部门公务出国（境）的国际旅费、国外城市间交通费、住宿费、伙食费、培训费、公杂费等支出；公务用车购置及运行维护费反映部门公务用车购置支出（含车辆购置税、牌照费）以及按规定保留的公务用车燃料费、</w:t>
      </w:r>
      <w:r>
        <w:rPr>
          <w:rFonts w:ascii="FangSong_GB2312" w:hAnsi="FangSong_GB2312" w:eastAsia="FangSong_GB2312" w:cs="FangSong_GB2312"/>
          <w:color w:val="000000"/>
          <w:kern w:val="0"/>
          <w:sz w:val="32"/>
          <w:szCs w:val="32"/>
        </w:rPr>
        <w:t>新能源汽车充电费、</w:t>
      </w:r>
      <w:r>
        <w:rPr>
          <w:rFonts w:ascii="FangSong_GB2312" w:hAnsi="FangSong_GB2312" w:eastAsia="FangSong_GB2312" w:cs="FangSong_GB2312"/>
          <w:kern w:val="0"/>
          <w:sz w:val="32"/>
          <w:szCs w:val="32"/>
        </w:rPr>
        <w:t>维修费、过路过桥费、保险费、安全奖励费用等支出；公务接待费反映部门按规定开支的各类公务接待（含外宾接待）费用。</w:t>
      </w:r>
    </w:p>
    <w:p w14:paraId="10DF1F85">
      <w:pPr>
        <w:pStyle w:val="28"/>
        <w:widowControl/>
        <w:spacing w:before="240" w:after="240" w:line="560" w:lineRule="atLeast"/>
        <w:ind w:firstLine="643"/>
        <w:jc w:val="left"/>
        <w:rPr>
          <w:rFonts w:ascii="Times New Roman" w:hAnsi="Times New Roman" w:eastAsia="Times New Roman" w:cs="Times New Roman"/>
          <w:kern w:val="0"/>
          <w:sz w:val="24"/>
        </w:rPr>
      </w:pPr>
      <w:r>
        <w:rPr>
          <w:rFonts w:ascii="FangSong_GB2312" w:hAnsi="FangSong_GB2312" w:eastAsia="FangSong_GB2312" w:cs="FangSong_GB2312"/>
          <w:b/>
          <w:bCs/>
          <w:kern w:val="0"/>
          <w:sz w:val="32"/>
          <w:szCs w:val="32"/>
        </w:rPr>
        <w:t>十七、机关运行经费：</w:t>
      </w:r>
      <w:r>
        <w:rPr>
          <w:rFonts w:ascii="FangSong_GB2312" w:hAnsi="FangSong_GB2312" w:eastAsia="FangSong_GB2312" w:cs="FangSong_GB2312"/>
          <w:kern w:val="0"/>
          <w:sz w:val="32"/>
          <w:szCs w:val="32"/>
        </w:rPr>
        <w:t>指行政单位和参照公务员法管理的事业单位财政拨款基本支出中的公用经费支出。</w:t>
      </w:r>
    </w:p>
    <w:p w14:paraId="15749CDF">
      <w:pPr>
        <w:widowControl/>
        <w:spacing w:before="240" w:after="240"/>
        <w:jc w:val="left"/>
        <w:rPr>
          <w:rFonts w:ascii="Times New Roman" w:hAnsi="Times New Roman" w:eastAsia="Times New Roman" w:cs="Times New Roman"/>
          <w:kern w:val="0"/>
          <w:sz w:val="24"/>
        </w:rPr>
      </w:pPr>
    </w:p>
    <w:p w14:paraId="3C195817">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第四部分</w:t>
      </w:r>
      <w:r>
        <w:rPr>
          <w:rFonts w:ascii="Times New Roman" w:hAnsi="Times New Roman" w:eastAsia="Times New Roman" w:cs="Times New Roman"/>
          <w:kern w:val="0"/>
          <w:sz w:val="36"/>
          <w:szCs w:val="36"/>
        </w:rPr>
        <w:t> </w:t>
      </w:r>
      <w:r>
        <w:rPr>
          <w:rFonts w:ascii="fang_zheng_xiao_biao_song_ti" w:hAnsi="fang_zheng_xiao_biao_song_ti" w:eastAsia="fang_zheng_xiao_biao_song_ti" w:cs="fang_zheng_xiao_biao_song_ti"/>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决算公开联系方式及信息反馈渠道</w:t>
      </w:r>
    </w:p>
    <w:p w14:paraId="1A5C4AC4">
      <w:pPr>
        <w:widowControl/>
        <w:spacing w:before="240" w:after="240"/>
        <w:jc w:val="left"/>
        <w:rPr>
          <w:rFonts w:ascii="Times New Roman" w:hAnsi="Times New Roman" w:eastAsia="Times New Roman" w:cs="Times New Roman"/>
          <w:kern w:val="0"/>
          <w:sz w:val="24"/>
        </w:rPr>
      </w:pPr>
    </w:p>
    <w:p w14:paraId="1F27C3C2">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本部门决算公开信息反馈和联系方式：</w:t>
      </w:r>
    </w:p>
    <w:p w14:paraId="7EAECD77">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联系人：</w:t>
      </w:r>
      <w:r>
        <w:rPr>
          <w:rFonts w:ascii="FangSong_GB2312" w:hAnsi="FangSong_GB2312" w:eastAsia="FangSong_GB2312" w:cs="FangSong_GB2312"/>
          <w:kern w:val="0"/>
          <w:sz w:val="32"/>
          <w:szCs w:val="32"/>
          <w:lang w:eastAsia="en-US"/>
        </w:rPr>
        <w:t>杜玉娟</w:t>
      </w:r>
      <w:r>
        <w:rPr>
          <w:rFonts w:ascii="Times New Roman" w:hAnsi="Times New Roman" w:eastAsia="Times New Roman" w:cs="Times New Roman"/>
          <w:kern w:val="0"/>
          <w:sz w:val="32"/>
          <w:szCs w:val="32"/>
          <w:lang w:eastAsia="en-US"/>
        </w:rPr>
        <w:t xml:space="preserve">              </w:t>
      </w:r>
      <w:r>
        <w:rPr>
          <w:rFonts w:ascii="FangSong_GB2312" w:hAnsi="FangSong_GB2312" w:eastAsia="FangSong_GB2312" w:cs="FangSong_GB2312"/>
          <w:kern w:val="0"/>
          <w:sz w:val="32"/>
          <w:szCs w:val="32"/>
        </w:rPr>
        <w:t>联系电话：</w:t>
      </w:r>
      <w:r>
        <w:rPr>
          <w:rFonts w:ascii="FangSong_GB2312" w:hAnsi="FangSong_GB2312" w:eastAsia="FangSong_GB2312" w:cs="FangSong_GB2312"/>
          <w:kern w:val="0"/>
          <w:sz w:val="32"/>
          <w:szCs w:val="32"/>
          <w:lang w:eastAsia="en-US"/>
        </w:rPr>
        <w:t>0476-8446957-</w:t>
      </w:r>
      <w:r>
        <w:rPr>
          <w:rFonts w:ascii="Calibri" w:hAnsi="Calibri" w:eastAsia="Calibri" w:cs="Calibri"/>
          <w:kern w:val="0"/>
          <w:sz w:val="32"/>
          <w:szCs w:val="32"/>
          <w:lang w:eastAsia="en-US"/>
        </w:rPr>
        <w:t> </w:t>
      </w:r>
    </w:p>
    <w:p w14:paraId="64265B09">
      <w:pPr>
        <w:widowControl/>
        <w:spacing w:before="240" w:after="240"/>
        <w:jc w:val="left"/>
        <w:rPr>
          <w:rFonts w:ascii="Times New Roman" w:hAnsi="Times New Roman" w:eastAsia="Times New Roman" w:cs="Times New Roman"/>
          <w:kern w:val="0"/>
          <w:sz w:val="24"/>
        </w:rPr>
      </w:pPr>
    </w:p>
    <w:p w14:paraId="060E86CE">
      <w:pPr>
        <w:pStyle w:val="3"/>
        <w:keepNext w:val="0"/>
        <w:keepLines w:val="0"/>
        <w:widowControl/>
        <w:spacing w:before="299" w:after="299" w:line="240" w:lineRule="auto"/>
        <w:jc w:val="center"/>
        <w:rPr>
          <w:rFonts w:ascii="Times New Roman" w:hAnsi="Times New Roman" w:eastAsia="Times New Roman" w:cs="Times New Roman"/>
          <w:b/>
          <w:bCs/>
          <w:kern w:val="0"/>
          <w:sz w:val="36"/>
          <w:szCs w:val="36"/>
        </w:rPr>
      </w:pPr>
      <w:r>
        <w:rPr>
          <w:rFonts w:ascii="fang_zheng_xiao_biao_song_ti" w:hAnsi="fang_zheng_xiao_biao_song_ti" w:eastAsia="fang_zheng_xiao_biao_song_ti" w:cs="fang_zheng_xiao_biao_song_ti"/>
          <w:kern w:val="0"/>
          <w:sz w:val="36"/>
          <w:szCs w:val="36"/>
        </w:rPr>
        <w:t>第五部分</w:t>
      </w:r>
      <w:r>
        <w:rPr>
          <w:rFonts w:ascii="Times New Roman" w:hAnsi="Times New Roman" w:eastAsia="Times New Roman" w:cs="Times New Roman"/>
          <w:kern w:val="0"/>
          <w:sz w:val="36"/>
          <w:szCs w:val="36"/>
        </w:rPr>
        <w:t> </w:t>
      </w:r>
      <w:r>
        <w:rPr>
          <w:rFonts w:ascii="方正小标宋简体" w:hAnsi="方正小标宋简体" w:eastAsia="方正小标宋简体" w:cs="方正小标宋简体"/>
          <w:b w:val="0"/>
          <w:bCs w:val="0"/>
          <w:kern w:val="0"/>
          <w:sz w:val="36"/>
          <w:szCs w:val="36"/>
        </w:rPr>
        <w:t xml:space="preserve"> </w:t>
      </w:r>
      <w:r>
        <w:rPr>
          <w:rFonts w:ascii="fang_zheng_xiao_biao_song_ti" w:hAnsi="fang_zheng_xiao_biao_song_ti" w:eastAsia="fang_zheng_xiao_biao_song_ti" w:cs="fang_zheng_xiao_biao_song_ti"/>
          <w:kern w:val="0"/>
          <w:sz w:val="36"/>
          <w:szCs w:val="36"/>
        </w:rPr>
        <w:t>部门（单位）决算表</w:t>
      </w:r>
    </w:p>
    <w:p w14:paraId="41F4CF02">
      <w:pPr>
        <w:pStyle w:val="28"/>
        <w:widowControl/>
        <w:spacing w:before="240" w:after="240"/>
        <w:ind w:left="0" w:right="0"/>
        <w:jc w:val="center"/>
        <w:rPr>
          <w:rFonts w:ascii="Times New Roman" w:hAnsi="Times New Roman" w:eastAsia="Times New Roman" w:cs="Times New Roman"/>
          <w:kern w:val="0"/>
          <w:sz w:val="24"/>
        </w:rPr>
      </w:pPr>
      <w:r>
        <w:rPr>
          <w:rFonts w:ascii="Times New Roman" w:hAnsi="Times New Roman" w:eastAsia="Times New Roman" w:cs="Times New Roman"/>
          <w:kern w:val="0"/>
          <w:sz w:val="24"/>
          <w:lang w:eastAsia="en-US"/>
        </w:rPr>
        <w:t> </w:t>
      </w:r>
    </w:p>
    <w:p w14:paraId="77B2DB24">
      <w:pPr>
        <w:pStyle w:val="28"/>
        <w:widowControl/>
        <w:spacing w:before="240" w:after="240" w:line="560" w:lineRule="atLeast"/>
        <w:ind w:firstLine="640"/>
        <w:jc w:val="left"/>
        <w:rPr>
          <w:rFonts w:ascii="Times New Roman" w:hAnsi="Times New Roman" w:eastAsia="Times New Roman" w:cs="Times New Roman"/>
          <w:kern w:val="0"/>
          <w:sz w:val="24"/>
        </w:rPr>
      </w:pPr>
      <w:r>
        <w:rPr>
          <w:rFonts w:ascii="FangSong_GB2312" w:hAnsi="FangSong_GB2312" w:eastAsia="FangSong_GB2312" w:cs="FangSong_GB2312"/>
          <w:kern w:val="0"/>
          <w:sz w:val="32"/>
          <w:szCs w:val="32"/>
        </w:rPr>
        <w:t>见附件。</w:t>
      </w:r>
    </w:p>
    <w:bookmarkEnd w:id="0"/>
    <w:p w14:paraId="44ED41EF">
      <w:pPr>
        <w:adjustRightInd w:val="0"/>
        <w:snapToGrid w:val="0"/>
        <w:rPr>
          <w:rFonts w:ascii="宋体" w:hAnsi="宋体"/>
          <w:b/>
          <w:sz w:val="32"/>
          <w:szCs w:val="32"/>
        </w:rPr>
      </w:pPr>
    </w:p>
    <w:p w14:paraId="16B721BE">
      <w:pPr>
        <w:adjustRightInd w:val="0"/>
        <w:snapToGrid w:val="0"/>
        <w:rPr>
          <w:rFonts w:ascii="宋体" w:hAnsi="宋体"/>
          <w:b/>
          <w:sz w:val="32"/>
          <w:szCs w:val="32"/>
        </w:rPr>
      </w:pPr>
    </w:p>
    <w:p w14:paraId="064DC7E7">
      <w:pPr>
        <w:tabs>
          <w:tab w:val="left" w:pos="8415"/>
        </w:tabs>
      </w:pPr>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FangSong_GB2312">
    <w:altName w:val="仿宋"/>
    <w:panose1 w:val="00000000000000000000"/>
    <w:charset w:val="00"/>
    <w:family w:val="auto"/>
    <w:pitch w:val="default"/>
    <w:sig w:usb0="00000000" w:usb1="00000000" w:usb2="00000000" w:usb3="00000000" w:csb0="00000000" w:csb1="00000000"/>
  </w:font>
  <w:font w:name="方正小标宋简体">
    <w:altName w:val="方正舒体"/>
    <w:panose1 w:val="00000000000000000000"/>
    <w:charset w:val="00"/>
    <w:family w:val="auto"/>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_new_roma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imes New Roman Regular">
    <w:altName w:val="Times New Roman"/>
    <w:panose1 w:val="02020503050405090304"/>
    <w:charset w:val="00"/>
    <w:family w:val="auto"/>
    <w:pitch w:val="default"/>
    <w:sig w:usb0="00000000" w:usb1="00000000" w:usb2="00000001" w:usb3="00000000" w:csb0="400001BF" w:csb1="DFF70000"/>
  </w:font>
  <w:font w:name="fang_zheng_xiao_biao_song_ti">
    <w:altName w:val="Segoe Print"/>
    <w:panose1 w:val="00000000000000000000"/>
    <w:charset w:val="00"/>
    <w:family w:val="auto"/>
    <w:pitch w:val="default"/>
    <w:sig w:usb0="00000000" w:usb1="00000000" w:usb2="00000000" w:usb3="00000000" w:csb0="00000000"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KSOF8BCA4F43">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8BCAC3A2">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136FE6">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F4FBFA">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FE7023"/>
    <w:multiLevelType w:val="singleLevel"/>
    <w:tmpl w:val="91FE702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splitPgBreakAndParaMark/>
    <w:compatSetting w:name="compatibilityMode" w:uri="http://schemas.microsoft.com/office/word" w:val="12"/>
  </w:compat>
  <w:rsids>
    <w:rsidRoot w:val="00000000"/>
    <w:rsid w:val="005F65CD"/>
    <w:rsid w:val="017F6A08"/>
    <w:rsid w:val="07AE58FB"/>
    <w:rsid w:val="14FB46BE"/>
    <w:rsid w:val="17265F3F"/>
    <w:rsid w:val="17AF3F25"/>
    <w:rsid w:val="19FC3D38"/>
    <w:rsid w:val="1FCB7982"/>
    <w:rsid w:val="2AA471C0"/>
    <w:rsid w:val="3639795D"/>
    <w:rsid w:val="4A0D5D1E"/>
    <w:rsid w:val="4EE50A5E"/>
    <w:rsid w:val="56B83AB4"/>
    <w:rsid w:val="5DAD21D5"/>
    <w:rsid w:val="73467AE9"/>
    <w:rsid w:val="73D4228B"/>
    <w:rsid w:val="7AAB6836"/>
    <w:rsid w:val="7AB05282"/>
    <w:rsid w:val="7E8417AB"/>
    <w:rsid w:val="7F661E7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7"/>
    <w:qFormat/>
    <w:uiPriority w:val="0"/>
    <w:pPr>
      <w:keepNext/>
      <w:keepLines/>
      <w:spacing w:before="260" w:after="260" w:line="416" w:lineRule="auto"/>
      <w:outlineLvl w:val="2"/>
    </w:pPr>
    <w:rPr>
      <w:b/>
      <w:bCs/>
      <w:sz w:val="32"/>
      <w:szCs w:val="32"/>
    </w:rPr>
  </w:style>
  <w:style w:type="paragraph" w:styleId="5">
    <w:name w:val="heading 4"/>
    <w:basedOn w:val="1"/>
    <w:next w:val="1"/>
    <w:link w:val="22"/>
    <w:qFormat/>
    <w:uiPriority w:val="0"/>
    <w:pPr>
      <w:keepNext/>
      <w:keepLines/>
      <w:spacing w:before="280" w:after="290" w:line="376" w:lineRule="auto"/>
      <w:outlineLvl w:val="3"/>
    </w:pPr>
    <w:rPr>
      <w:rFonts w:ascii="Cambria" w:hAnsi="Cambria"/>
      <w:b/>
      <w:bCs/>
      <w:sz w:val="28"/>
      <w:szCs w:val="28"/>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autoRedefine/>
    <w:qFormat/>
    <w:uiPriority w:val="0"/>
    <w:pPr>
      <w:ind w:left="1260"/>
      <w:jc w:val="left"/>
    </w:pPr>
    <w:rPr>
      <w:sz w:val="20"/>
      <w:szCs w:val="20"/>
    </w:rPr>
  </w:style>
  <w:style w:type="paragraph" w:styleId="7">
    <w:name w:val="Document Map"/>
    <w:basedOn w:val="1"/>
    <w:qFormat/>
    <w:uiPriority w:val="0"/>
    <w:pPr>
      <w:shd w:val="clear" w:color="auto" w:fill="000080"/>
    </w:pPr>
  </w:style>
  <w:style w:type="paragraph" w:styleId="8">
    <w:name w:val="toc 5"/>
    <w:basedOn w:val="1"/>
    <w:next w:val="1"/>
    <w:autoRedefine/>
    <w:qFormat/>
    <w:uiPriority w:val="0"/>
    <w:pPr>
      <w:ind w:left="840"/>
      <w:jc w:val="left"/>
    </w:pPr>
    <w:rPr>
      <w:sz w:val="20"/>
      <w:szCs w:val="20"/>
    </w:rPr>
  </w:style>
  <w:style w:type="paragraph" w:styleId="9">
    <w:name w:val="toc 3"/>
    <w:basedOn w:val="1"/>
    <w:next w:val="1"/>
    <w:qFormat/>
    <w:uiPriority w:val="0"/>
    <w:pPr>
      <w:adjustRightInd w:val="0"/>
      <w:snapToGrid w:val="0"/>
      <w:spacing w:line="360" w:lineRule="auto"/>
      <w:ind w:firstLine="400" w:firstLineChars="400"/>
      <w:jc w:val="left"/>
    </w:pPr>
    <w:rPr>
      <w:sz w:val="24"/>
      <w:szCs w:val="20"/>
    </w:rPr>
  </w:style>
  <w:style w:type="paragraph" w:styleId="10">
    <w:name w:val="toc 8"/>
    <w:basedOn w:val="1"/>
    <w:next w:val="1"/>
    <w:autoRedefine/>
    <w:qFormat/>
    <w:uiPriority w:val="0"/>
    <w:pPr>
      <w:ind w:left="1470"/>
      <w:jc w:val="left"/>
    </w:pPr>
    <w:rPr>
      <w:sz w:val="20"/>
      <w:szCs w:val="20"/>
    </w:rPr>
  </w:style>
  <w:style w:type="paragraph" w:styleId="11">
    <w:name w:val="footer"/>
    <w:basedOn w:val="1"/>
    <w:link w:val="25"/>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pPr>
      <w:adjustRightInd w:val="0"/>
      <w:snapToGrid w:val="0"/>
      <w:spacing w:line="360" w:lineRule="auto"/>
      <w:jc w:val="left"/>
    </w:pPr>
    <w:rPr>
      <w:b/>
      <w:bCs/>
      <w:sz w:val="24"/>
      <w:szCs w:val="20"/>
    </w:rPr>
  </w:style>
  <w:style w:type="paragraph" w:styleId="14">
    <w:name w:val="toc 4"/>
    <w:basedOn w:val="1"/>
    <w:next w:val="1"/>
    <w:autoRedefine/>
    <w:qFormat/>
    <w:uiPriority w:val="0"/>
    <w:pPr>
      <w:ind w:left="630"/>
      <w:jc w:val="left"/>
    </w:pPr>
    <w:rPr>
      <w:sz w:val="20"/>
      <w:szCs w:val="20"/>
    </w:rPr>
  </w:style>
  <w:style w:type="paragraph" w:styleId="15">
    <w:name w:val="toc 6"/>
    <w:basedOn w:val="1"/>
    <w:next w:val="1"/>
    <w:autoRedefine/>
    <w:qFormat/>
    <w:uiPriority w:val="0"/>
    <w:pPr>
      <w:ind w:left="1050"/>
      <w:jc w:val="left"/>
    </w:pPr>
    <w:rPr>
      <w:sz w:val="20"/>
      <w:szCs w:val="20"/>
    </w:rPr>
  </w:style>
  <w:style w:type="paragraph" w:styleId="16">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7">
    <w:name w:val="toc 9"/>
    <w:basedOn w:val="1"/>
    <w:next w:val="1"/>
    <w:autoRedefine/>
    <w:qFormat/>
    <w:uiPriority w:val="0"/>
    <w:pPr>
      <w:ind w:left="1680"/>
      <w:jc w:val="left"/>
    </w:pPr>
    <w:rPr>
      <w:sz w:val="20"/>
      <w:szCs w:val="20"/>
    </w:rPr>
  </w:style>
  <w:style w:type="character" w:styleId="20">
    <w:name w:val="page number"/>
    <w:basedOn w:val="19"/>
    <w:qFormat/>
    <w:uiPriority w:val="0"/>
  </w:style>
  <w:style w:type="character" w:styleId="21">
    <w:name w:val="Hyperlink"/>
    <w:basedOn w:val="19"/>
    <w:qFormat/>
    <w:uiPriority w:val="0"/>
    <w:rPr>
      <w:color w:val="0000FF"/>
      <w:u w:val="single"/>
    </w:rPr>
  </w:style>
  <w:style w:type="character" w:customStyle="1" w:styleId="22">
    <w:name w:val="标题 4 Char"/>
    <w:basedOn w:val="19"/>
    <w:link w:val="5"/>
    <w:qFormat/>
    <w:uiPriority w:val="0"/>
    <w:rPr>
      <w:rFonts w:ascii="Cambria" w:hAnsi="Cambria"/>
      <w:b/>
      <w:bCs/>
      <w:kern w:val="2"/>
      <w:sz w:val="28"/>
      <w:szCs w:val="28"/>
    </w:rPr>
  </w:style>
  <w:style w:type="paragraph" w:styleId="23">
    <w:name w:val="No Spacing"/>
    <w:link w:val="24"/>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4">
    <w:name w:val="无间隔 Char"/>
    <w:link w:val="23"/>
    <w:qFormat/>
    <w:locked/>
    <w:uiPriority w:val="0"/>
    <w:rPr>
      <w:rFonts w:eastAsia="仿宋_GB2312"/>
      <w:sz w:val="30"/>
      <w:szCs w:val="22"/>
      <w:lang w:bidi="ar-SA"/>
    </w:rPr>
  </w:style>
  <w:style w:type="character" w:customStyle="1" w:styleId="25">
    <w:name w:val="页脚 Char"/>
    <w:basedOn w:val="19"/>
    <w:link w:val="11"/>
    <w:qFormat/>
    <w:uiPriority w:val="0"/>
    <w:rPr>
      <w:kern w:val="2"/>
      <w:sz w:val="18"/>
      <w:szCs w:val="18"/>
    </w:rPr>
  </w:style>
  <w:style w:type="paragraph" w:styleId="26">
    <w:name w:val="List Paragraph"/>
    <w:basedOn w:val="1"/>
    <w:qFormat/>
    <w:uiPriority w:val="0"/>
    <w:pPr>
      <w:ind w:firstLine="420" w:firstLineChars="200"/>
    </w:pPr>
  </w:style>
  <w:style w:type="character" w:customStyle="1" w:styleId="27">
    <w:name w:val="标题 3 Char"/>
    <w:basedOn w:val="19"/>
    <w:link w:val="4"/>
    <w:qFormat/>
    <w:uiPriority w:val="0"/>
    <w:rPr>
      <w:b/>
      <w:bCs/>
      <w:kern w:val="2"/>
      <w:sz w:val="32"/>
      <w:szCs w:val="32"/>
    </w:rPr>
  </w:style>
  <w:style w:type="paragraph" w:customStyle="1" w:styleId="28">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37</Pages>
  <Words>7819</Words>
  <Characters>8404</Characters>
  <Lines>1</Lines>
  <Paragraphs>1</Paragraphs>
  <TotalTime>7</TotalTime>
  <ScaleCrop>false</ScaleCrop>
  <LinksUpToDate>false</LinksUpToDate>
  <CharactersWithSpaces>8568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糖果</cp:lastModifiedBy>
  <cp:lastPrinted>2021-04-16T00:45:00Z</cp:lastPrinted>
  <dcterms:modified xsi:type="dcterms:W3CDTF">2026-10-12T07:17:19Z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91DB0846777F441C8BF16F9934ABB3EC_13</vt:lpwstr>
  </property>
  <property fmtid="{D5CDD505-2E9C-101B-9397-08002B2CF9AE}" pid="3" name="KSOProductBuildVer">
    <vt:lpwstr>2052-12.1.0.28505</vt:lpwstr>
  </property>
  <property fmtid="{D5CDD505-2E9C-101B-9397-08002B2CF9AE}" pid="4" name="KSOTemplateDocerSaveRecord">
    <vt:lpwstr>eyJoZGlkIjoiMDcyNzc0N2QxOTAyZjkxYjg5MjNkNThkNzRlYWNjMDciLCJ1c2VySWQiOiIxMTIxNzkwNzg3In0=</vt:lpwstr>
  </property>
</Properties>
</file>